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ED5" w:rsidP="004E3ED5" w:rsidRDefault="004E3ED5" w14:paraId="44B90CF7" w14:textId="0622A654">
      <w:pPr>
        <w:jc w:val="center"/>
        <w:rPr>
          <w:sz w:val="36"/>
          <w:szCs w:val="36"/>
        </w:rPr>
      </w:pPr>
      <w:r w:rsidRPr="00AB134A">
        <w:rPr>
          <w:sz w:val="36"/>
          <w:szCs w:val="36"/>
        </w:rPr>
        <w:t>Port-</w:t>
      </w:r>
      <w:r>
        <w:rPr>
          <w:sz w:val="36"/>
          <w:szCs w:val="36"/>
        </w:rPr>
        <w:t>Out</w:t>
      </w:r>
      <w:r w:rsidRPr="00AB134A">
        <w:rPr>
          <w:sz w:val="36"/>
          <w:szCs w:val="36"/>
        </w:rPr>
        <w:t xml:space="preserve"> FAQ</w:t>
      </w:r>
    </w:p>
    <w:p w:rsidR="0035082A" w:rsidP="0035082A" w:rsidRDefault="0035082A" w14:paraId="1562F07D" w14:textId="77777777">
      <w:pPr>
        <w:shd w:val="clear" w:color="auto" w:fill="FFFFFF"/>
        <w:spacing w:line="240" w:lineRule="auto"/>
        <w:textAlignment w:val="baseline"/>
        <w:rPr>
          <w:rFonts w:ascii="Aptos" w:hAnsi="Aptos" w:eastAsia="Times New Roman" w:cs="Times New Roman"/>
          <w:color w:val="000000"/>
          <w:kern w:val="0"/>
          <w:sz w:val="24"/>
          <w:szCs w:val="24"/>
          <w14:ligatures w14:val="none"/>
        </w:rPr>
      </w:pPr>
      <w:r>
        <w:rPr>
          <w:rFonts w:ascii="Aptos" w:hAnsi="Aptos" w:eastAsia="Times New Roman" w:cs="Times New Roman"/>
          <w:color w:val="000000"/>
          <w:kern w:val="0"/>
          <w:sz w:val="24"/>
          <w:szCs w:val="24"/>
          <w14:ligatures w14:val="none"/>
        </w:rPr>
        <w:t>Q. I want to port out of Vermont? What am I looking for?</w:t>
      </w:r>
    </w:p>
    <w:p w:rsidRPr="0035082A" w:rsidR="0035082A" w:rsidP="000E6462" w:rsidRDefault="0035082A" w14:paraId="50272D48" w14:textId="59D8EC3F">
      <w:pPr>
        <w:shd w:val="clear" w:color="auto" w:fill="FFFFFF"/>
        <w:spacing w:line="240" w:lineRule="auto"/>
        <w:ind w:firstLine="720"/>
        <w:textAlignment w:val="baseline"/>
        <w:rPr>
          <w:rFonts w:ascii="Aptos" w:hAnsi="Aptos" w:eastAsia="Times New Roman" w:cs="Times New Roman"/>
          <w:color w:val="000000"/>
          <w:kern w:val="0"/>
          <w:sz w:val="24"/>
          <w:szCs w:val="24"/>
          <w14:ligatures w14:val="none"/>
        </w:rPr>
      </w:pPr>
      <w:r>
        <w:rPr>
          <w:rFonts w:ascii="Aptos" w:hAnsi="Aptos" w:eastAsia="Times New Roman" w:cs="Times New Roman"/>
          <w:color w:val="000000"/>
          <w:kern w:val="0"/>
          <w:sz w:val="24"/>
          <w:szCs w:val="24"/>
          <w14:ligatures w14:val="none"/>
        </w:rPr>
        <w:t xml:space="preserve">A. </w:t>
      </w:r>
      <w:r w:rsidRPr="0035082A">
        <w:rPr>
          <w:rFonts w:ascii="Aptos" w:hAnsi="Aptos" w:eastAsia="Times New Roman" w:cs="Times New Roman"/>
          <w:color w:val="000000"/>
          <w:kern w:val="0"/>
          <w:sz w:val="24"/>
          <w:szCs w:val="24"/>
          <w14:ligatures w14:val="none"/>
        </w:rPr>
        <w:t>VSHA Section 8 Voucher holders (Mainstream, Housing Choice Voucher, FUP) may port their vouchers if determined eligible AND if the receiving housing authority is absorbing vouchers or have voucher payment standards equal to or less than Vermont State Housing Authority’s. Please see below for voucher payment standards.</w:t>
      </w:r>
    </w:p>
    <w:tbl>
      <w:tblPr>
        <w:tblW w:w="0" w:type="auto"/>
        <w:shd w:val="clear" w:color="auto" w:fill="FFFFFF"/>
        <w:tblCellMar>
          <w:left w:w="0" w:type="dxa"/>
          <w:right w:w="0" w:type="dxa"/>
        </w:tblCellMar>
        <w:tblLook w:val="04A0" w:firstRow="1" w:lastRow="0" w:firstColumn="1" w:lastColumn="0" w:noHBand="0" w:noVBand="1"/>
      </w:tblPr>
      <w:tblGrid>
        <w:gridCol w:w="1868"/>
        <w:gridCol w:w="1868"/>
        <w:gridCol w:w="1868"/>
        <w:gridCol w:w="1868"/>
        <w:gridCol w:w="1868"/>
      </w:tblGrid>
      <w:tr w:rsidRPr="0035082A" w:rsidR="0035082A" w:rsidTr="11CFA287" w14:paraId="481AFE46" w14:textId="77777777">
        <w:tc>
          <w:tcPr>
            <w:tcW w:w="18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0A00F8B1"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0 Bedroom</w:t>
            </w:r>
          </w:p>
        </w:tc>
        <w:tc>
          <w:tcPr>
            <w:tcW w:w="1870" w:type="dxa"/>
            <w:tcBorders>
              <w:top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62514BB5"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1 Bedroom</w:t>
            </w:r>
          </w:p>
        </w:tc>
        <w:tc>
          <w:tcPr>
            <w:tcW w:w="1870" w:type="dxa"/>
            <w:tcBorders>
              <w:top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63D23B70"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2 Bedroom</w:t>
            </w:r>
          </w:p>
        </w:tc>
        <w:tc>
          <w:tcPr>
            <w:tcW w:w="1870" w:type="dxa"/>
            <w:tcBorders>
              <w:top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133F2BFB"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3 Bedroom</w:t>
            </w:r>
          </w:p>
        </w:tc>
        <w:tc>
          <w:tcPr>
            <w:tcW w:w="1870" w:type="dxa"/>
            <w:tcBorders>
              <w:top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7986EC0F"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4 Bedroom</w:t>
            </w:r>
          </w:p>
        </w:tc>
      </w:tr>
      <w:tr w:rsidRPr="0035082A" w:rsidR="0035082A" w:rsidTr="11CFA287" w14:paraId="479980AA" w14:textId="77777777">
        <w:trPr>
          <w:trHeight w:val="58"/>
        </w:trPr>
        <w:tc>
          <w:tcPr>
            <w:tcW w:w="1870" w:type="dxa"/>
            <w:tcBorders>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4E99A2F6" w14:textId="6F43141E">
            <w:pPr>
              <w:spacing w:after="0" w:line="240" w:lineRule="auto"/>
              <w:jc w:val="center"/>
              <w:textAlignment w:val="baseline"/>
              <w:rPr>
                <w:rFonts w:ascii="Aptos" w:hAnsi="Aptos" w:eastAsia="Times New Roman" w:cs="Segoe UI"/>
                <w:color w:val="000000"/>
                <w:kern w:val="0"/>
                <w:sz w:val="24"/>
                <w:szCs w:val="24"/>
                <w14:ligatures w14:val="none"/>
              </w:rPr>
            </w:pPr>
            <w:r w:rsidRPr="0035082A" w:rsidR="091E89EE">
              <w:rPr>
                <w:rFonts w:ascii="Aptos" w:hAnsi="Aptos" w:eastAsia="Times New Roman" w:cs="Segoe UI"/>
                <w:color w:val="000000"/>
                <w:kern w:val="0"/>
                <w:sz w:val="24"/>
                <w:szCs w:val="24"/>
                <w14:ligatures w14:val="none"/>
              </w:rPr>
              <w:t>$1,</w:t>
            </w:r>
            <w:r w:rsidRPr="11CFA287" w:rsidR="44AB4A49">
              <w:rPr>
                <w:rFonts w:ascii="Aptos" w:hAnsi="Aptos" w:eastAsia="Times New Roman" w:cs="Segoe UI"/>
                <w:color w:val="000000" w:themeColor="text1" w:themeTint="FF" w:themeShade="FF"/>
                <w:sz w:val="24"/>
                <w:szCs w:val="24"/>
              </w:rPr>
              <w:t>380</w:t>
            </w:r>
          </w:p>
        </w:tc>
        <w:tc>
          <w:tcPr>
            <w:tcW w:w="1870" w:type="dxa"/>
            <w:tcBorders>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770DA7E8" w14:textId="2358B86D">
            <w:pPr>
              <w:spacing w:after="0" w:line="240" w:lineRule="auto"/>
              <w:jc w:val="center"/>
              <w:textAlignment w:val="baseline"/>
              <w:rPr>
                <w:rFonts w:ascii="Aptos" w:hAnsi="Aptos" w:eastAsia="Times New Roman" w:cs="Segoe UI"/>
                <w:color w:val="000000"/>
                <w:kern w:val="0"/>
                <w:sz w:val="24"/>
                <w:szCs w:val="24"/>
                <w14:ligatures w14:val="none"/>
              </w:rPr>
            </w:pPr>
            <w:r w:rsidRPr="0035082A" w:rsidR="091E89EE">
              <w:rPr>
                <w:rFonts w:ascii="Aptos" w:hAnsi="Aptos" w:eastAsia="Times New Roman" w:cs="Segoe UI"/>
                <w:color w:val="000000"/>
                <w:kern w:val="0"/>
                <w:sz w:val="24"/>
                <w:szCs w:val="24"/>
                <w14:ligatures w14:val="none"/>
              </w:rPr>
              <w:t>$1,4</w:t>
            </w:r>
            <w:r w:rsidRPr="11CFA287" w:rsidR="5B178A64">
              <w:rPr>
                <w:rFonts w:ascii="Aptos" w:hAnsi="Aptos" w:eastAsia="Times New Roman" w:cs="Segoe UI"/>
                <w:color w:val="000000" w:themeColor="text1" w:themeTint="FF" w:themeShade="FF"/>
                <w:sz w:val="24"/>
                <w:szCs w:val="24"/>
              </w:rPr>
              <w:t>86</w:t>
            </w:r>
          </w:p>
        </w:tc>
        <w:tc>
          <w:tcPr>
            <w:tcW w:w="1870" w:type="dxa"/>
            <w:tcBorders>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61EF68BD"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$1,936</w:t>
            </w:r>
          </w:p>
        </w:tc>
        <w:tc>
          <w:tcPr>
            <w:tcW w:w="1870" w:type="dxa"/>
            <w:tcBorders>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3892056F"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$2,491</w:t>
            </w:r>
          </w:p>
        </w:tc>
        <w:tc>
          <w:tcPr>
            <w:tcW w:w="1870" w:type="dxa"/>
            <w:tcBorders>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5082A" w:rsidR="0035082A" w:rsidP="0035082A" w:rsidRDefault="0035082A" w14:paraId="54E746F1" w14:textId="77777777">
            <w:pPr>
              <w:spacing w:after="0" w:line="240" w:lineRule="auto"/>
              <w:jc w:val="center"/>
              <w:textAlignment w:val="baseline"/>
              <w:rPr>
                <w:rFonts w:ascii="Aptos" w:hAnsi="Aptos" w:eastAsia="Times New Roman" w:cs="Segoe UI"/>
                <w:color w:val="000000"/>
                <w:kern w:val="0"/>
                <w:sz w:val="24"/>
                <w:szCs w:val="24"/>
                <w14:ligatures w14:val="none"/>
              </w:rPr>
            </w:pPr>
            <w:r w:rsidRPr="0035082A">
              <w:rPr>
                <w:rFonts w:ascii="Aptos" w:hAnsi="Aptos" w:eastAsia="Times New Roman" w:cs="Segoe UI"/>
                <w:color w:val="000000"/>
                <w:kern w:val="0"/>
                <w:sz w:val="24"/>
                <w:szCs w:val="24"/>
                <w14:ligatures w14:val="none"/>
              </w:rPr>
              <w:t>$2,567</w:t>
            </w:r>
          </w:p>
        </w:tc>
      </w:tr>
    </w:tbl>
    <w:p w:rsidRPr="0035082A" w:rsidR="004E3ED5" w:rsidP="0035082A" w:rsidRDefault="0035082A" w14:paraId="5FEAD344" w14:textId="71EC017A">
      <w:pPr>
        <w:shd w:val="clear" w:color="auto" w:fill="FFFFFF"/>
        <w:spacing w:line="240" w:lineRule="auto"/>
        <w:textAlignment w:val="baseline"/>
        <w:rPr>
          <w:rFonts w:ascii="Aptos" w:hAnsi="Aptos" w:eastAsia="Times New Roman" w:cs="Times New Roman"/>
          <w:color w:val="000000"/>
          <w:kern w:val="0"/>
          <w:sz w:val="24"/>
          <w:szCs w:val="24"/>
          <w14:ligatures w14:val="none"/>
        </w:rPr>
      </w:pPr>
      <w:r w:rsidRPr="0035082A">
        <w:rPr>
          <w:rFonts w:ascii="Aptos" w:hAnsi="Aptos" w:eastAsia="Times New Roman" w:cs="Times New Roman"/>
          <w:color w:val="000000"/>
          <w:kern w:val="0"/>
          <w:sz w:val="24"/>
          <w:szCs w:val="24"/>
          <w14:ligatures w14:val="none"/>
        </w:rPr>
        <w:t> </w:t>
      </w:r>
    </w:p>
    <w:p w:rsidR="004E3ED5" w:rsidP="004E3ED5" w:rsidRDefault="004E3ED5" w14:paraId="4EB7D116" w14:textId="77777777">
      <w:pPr>
        <w:rPr>
          <w:sz w:val="24"/>
          <w:szCs w:val="24"/>
        </w:rPr>
      </w:pPr>
      <w:r>
        <w:rPr>
          <w:sz w:val="24"/>
          <w:szCs w:val="24"/>
        </w:rPr>
        <w:t>Q: What is VSHA’s Administrative Fee for billed ports?</w:t>
      </w:r>
    </w:p>
    <w:p w:rsidR="004E3ED5" w:rsidP="11CFA287" w:rsidRDefault="004E3ED5" w14:paraId="7CDD1CB8" w14:textId="6B6C46B7">
      <w:pPr>
        <w:pStyle w:val="Normal"/>
        <w:suppressLineNumbers w:val="0"/>
        <w:bidi w:val="0"/>
        <w:spacing w:before="0" w:beforeAutospacing="off" w:after="160" w:afterAutospacing="off" w:line="259" w:lineRule="auto"/>
        <w:ind w:left="0" w:right="0"/>
        <w:jc w:val="left"/>
        <w:rPr>
          <w:sz w:val="24"/>
          <w:szCs w:val="24"/>
        </w:rPr>
      </w:pPr>
      <w:r>
        <w:rPr>
          <w:sz w:val="24"/>
          <w:szCs w:val="24"/>
        </w:rPr>
        <w:tab/>
      </w:r>
      <w:r w:rsidR="26B06B25">
        <w:rPr>
          <w:sz w:val="24"/>
          <w:szCs w:val="24"/>
        </w:rPr>
        <w:t>A: VSHA’s Administrative Fee is $</w:t>
      </w:r>
      <w:r w:rsidRPr="11CFA287" w:rsidR="1751BE00">
        <w:rPr>
          <w:sz w:val="24"/>
          <w:szCs w:val="24"/>
        </w:rPr>
        <w:t>83.49</w:t>
      </w:r>
      <w:r w:rsidRPr="11CFA287" w:rsidR="26B06B25">
        <w:rPr>
          <w:sz w:val="24"/>
          <w:szCs w:val="24"/>
        </w:rPr>
        <w:t xml:space="preserve"> (</w:t>
      </w:r>
      <w:r w:rsidRPr="11CFA287" w:rsidR="09D22F38">
        <w:rPr>
          <w:sz w:val="24"/>
          <w:szCs w:val="24"/>
        </w:rPr>
        <w:t>0</w:t>
      </w:r>
      <w:r w:rsidRPr="11CFA287" w:rsidR="34374C93">
        <w:rPr>
          <w:sz w:val="24"/>
          <w:szCs w:val="24"/>
        </w:rPr>
        <w:t>5</w:t>
      </w:r>
      <w:r w:rsidRPr="11CFA287" w:rsidR="7BB123C9">
        <w:rPr>
          <w:sz w:val="24"/>
          <w:szCs w:val="24"/>
        </w:rPr>
        <w:t>.01.2026</w:t>
      </w:r>
      <w:r w:rsidRPr="11CFA287" w:rsidR="26B06B25">
        <w:rPr>
          <w:sz w:val="24"/>
          <w:szCs w:val="24"/>
        </w:rPr>
        <w:t>)</w:t>
      </w:r>
    </w:p>
    <w:p w:rsidR="004E3ED5" w:rsidP="004E3ED5" w:rsidRDefault="004E3ED5" w14:paraId="49A3B5FB" w14:textId="77777777">
      <w:pPr>
        <w:rPr>
          <w:sz w:val="24"/>
          <w:szCs w:val="24"/>
        </w:rPr>
      </w:pPr>
    </w:p>
    <w:p w:rsidR="004E3ED5" w:rsidP="004E3ED5" w:rsidRDefault="004E3ED5" w14:paraId="288930D5" w14:textId="77777777">
      <w:pPr>
        <w:rPr>
          <w:sz w:val="24"/>
          <w:szCs w:val="24"/>
        </w:rPr>
      </w:pPr>
      <w:r>
        <w:rPr>
          <w:sz w:val="24"/>
          <w:szCs w:val="24"/>
        </w:rPr>
        <w:t>Q: How much time do I have to find a unit? Voucher extension request?</w:t>
      </w:r>
    </w:p>
    <w:p w:rsidR="004E3ED5" w:rsidP="004E3ED5" w:rsidRDefault="004E3ED5" w14:paraId="32231C45" w14:textId="1B4824CD">
      <w:pPr>
        <w:rPr>
          <w:sz w:val="24"/>
          <w:szCs w:val="24"/>
        </w:rPr>
      </w:pPr>
      <w:r>
        <w:rPr>
          <w:sz w:val="24"/>
          <w:szCs w:val="24"/>
        </w:rPr>
        <w:tab/>
      </w:r>
      <w:r>
        <w:rPr>
          <w:sz w:val="24"/>
          <w:szCs w:val="24"/>
        </w:rPr>
        <w:t xml:space="preserve">A: VSHA will issue your family a </w:t>
      </w:r>
      <w:r w:rsidR="0035082A">
        <w:rPr>
          <w:sz w:val="24"/>
          <w:szCs w:val="24"/>
        </w:rPr>
        <w:t>120</w:t>
      </w:r>
      <w:r>
        <w:rPr>
          <w:sz w:val="24"/>
          <w:szCs w:val="24"/>
        </w:rPr>
        <w:t>-day voucher to port, then you’ll follow policies and procedures of the Receiving Housing Authority.</w:t>
      </w:r>
    </w:p>
    <w:p w:rsidR="004E3ED5" w:rsidP="004E3ED5" w:rsidRDefault="004E3ED5" w14:paraId="08004216" w14:textId="77777777">
      <w:pPr>
        <w:rPr>
          <w:sz w:val="24"/>
          <w:szCs w:val="24"/>
        </w:rPr>
      </w:pPr>
    </w:p>
    <w:p w:rsidR="004E3ED5" w:rsidP="004E3ED5" w:rsidRDefault="004E3ED5" w14:paraId="0CF3F041" w14:textId="77777777">
      <w:pPr>
        <w:rPr>
          <w:sz w:val="24"/>
          <w:szCs w:val="24"/>
        </w:rPr>
      </w:pPr>
      <w:r>
        <w:rPr>
          <w:sz w:val="24"/>
          <w:szCs w:val="24"/>
        </w:rPr>
        <w:t>Q: What is the rent amount I should be looking for?</w:t>
      </w:r>
    </w:p>
    <w:p w:rsidR="004E3ED5" w:rsidP="004E3ED5" w:rsidRDefault="004E3ED5" w14:paraId="0554B22D" w14:textId="42A6056B">
      <w:pPr>
        <w:rPr>
          <w:sz w:val="24"/>
          <w:szCs w:val="24"/>
        </w:rPr>
      </w:pPr>
      <w:r>
        <w:rPr>
          <w:sz w:val="24"/>
          <w:szCs w:val="24"/>
        </w:rPr>
        <w:tab/>
      </w:r>
      <w:r>
        <w:rPr>
          <w:sz w:val="24"/>
          <w:szCs w:val="24"/>
        </w:rPr>
        <w:t xml:space="preserve">A: </w:t>
      </w:r>
      <w:r w:rsidR="000E6462">
        <w:rPr>
          <w:sz w:val="24"/>
          <w:szCs w:val="24"/>
        </w:rPr>
        <w:t xml:space="preserve">The </w:t>
      </w:r>
      <w:r>
        <w:rPr>
          <w:sz w:val="24"/>
          <w:szCs w:val="24"/>
        </w:rPr>
        <w:t>Units that are affordable when the total gross rent (what the landlord is asking and the total of all utilities you would be paying for) is at or below the voucher payment standard</w:t>
      </w:r>
      <w:r w:rsidR="000E6462">
        <w:rPr>
          <w:sz w:val="24"/>
          <w:szCs w:val="24"/>
        </w:rPr>
        <w:t xml:space="preserve"> provided by the receiving housing authority. </w:t>
      </w:r>
    </w:p>
    <w:p w:rsidR="004E3ED5" w:rsidP="004E3ED5" w:rsidRDefault="004E3ED5" w14:paraId="1D44238B" w14:textId="77777777">
      <w:pPr>
        <w:rPr>
          <w:sz w:val="24"/>
          <w:szCs w:val="24"/>
        </w:rPr>
      </w:pPr>
    </w:p>
    <w:p w:rsidR="004E3ED5" w:rsidP="004E3ED5" w:rsidRDefault="004E3ED5" w14:paraId="5A145201" w14:textId="77777777">
      <w:pPr>
        <w:rPr>
          <w:sz w:val="24"/>
          <w:szCs w:val="24"/>
        </w:rPr>
      </w:pPr>
      <w:r>
        <w:rPr>
          <w:sz w:val="24"/>
          <w:szCs w:val="24"/>
        </w:rPr>
        <w:t>Q: Can I move into the unit before the paperwork has been processed?</w:t>
      </w:r>
    </w:p>
    <w:p w:rsidRPr="00AB134A" w:rsidR="004E3ED5" w:rsidP="004E3ED5" w:rsidRDefault="004E3ED5" w14:paraId="589AC747" w14:textId="77777777">
      <w:pPr>
        <w:rPr>
          <w:sz w:val="24"/>
          <w:szCs w:val="24"/>
        </w:rPr>
      </w:pPr>
      <w:r>
        <w:rPr>
          <w:sz w:val="24"/>
          <w:szCs w:val="24"/>
        </w:rPr>
        <w:tab/>
      </w:r>
      <w:r>
        <w:rPr>
          <w:sz w:val="24"/>
          <w:szCs w:val="24"/>
        </w:rPr>
        <w:t>A: VSHA will not advise nor suggest for you to do so. It must first be determined you are eligible for the unit, the unit must pass a Housing Quality Standards (HQS) Inspection, and the rent must be determined that it is a reasonable rent amount prior to your moving in to the unit.</w:t>
      </w:r>
    </w:p>
    <w:p w:rsidR="007353D1" w:rsidRDefault="007353D1" w14:paraId="7F3B5635" w14:textId="77777777"/>
    <w:sectPr w:rsidR="007353D1" w:rsidSect="004E3E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D5"/>
    <w:rsid w:val="000E6462"/>
    <w:rsid w:val="0035082A"/>
    <w:rsid w:val="00406AB2"/>
    <w:rsid w:val="004E3ED5"/>
    <w:rsid w:val="0050219B"/>
    <w:rsid w:val="007353D1"/>
    <w:rsid w:val="007A27F7"/>
    <w:rsid w:val="00BB07AB"/>
    <w:rsid w:val="00C1478C"/>
    <w:rsid w:val="00CB2DF2"/>
    <w:rsid w:val="091E89EE"/>
    <w:rsid w:val="09D22F38"/>
    <w:rsid w:val="112E70C9"/>
    <w:rsid w:val="11CFA287"/>
    <w:rsid w:val="1751BE00"/>
    <w:rsid w:val="26B06B25"/>
    <w:rsid w:val="2C5836E7"/>
    <w:rsid w:val="34374C93"/>
    <w:rsid w:val="44AB4A49"/>
    <w:rsid w:val="4CE87156"/>
    <w:rsid w:val="52BD7054"/>
    <w:rsid w:val="5B178A64"/>
    <w:rsid w:val="70EC2579"/>
    <w:rsid w:val="7BB1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770A"/>
  <w15:chartTrackingRefBased/>
  <w15:docId w15:val="{EA4C7754-D548-433A-AF9A-07D662CD0E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3ED5"/>
  </w:style>
  <w:style w:type="paragraph" w:styleId="Heading1">
    <w:name w:val="heading 1"/>
    <w:basedOn w:val="Normal"/>
    <w:next w:val="Normal"/>
    <w:link w:val="Heading1Char"/>
    <w:uiPriority w:val="9"/>
    <w:qFormat/>
    <w:rsid w:val="004E3E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E3E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E3E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E3E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E3E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E3E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E3E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E3E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E3E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E3ED5"/>
    <w:rPr>
      <w:rFonts w:eastAsiaTheme="majorEastAsia" w:cstheme="majorBidi"/>
      <w:color w:val="272727" w:themeColor="text1" w:themeTint="D8"/>
    </w:rPr>
  </w:style>
  <w:style w:type="paragraph" w:styleId="Title">
    <w:name w:val="Title"/>
    <w:basedOn w:val="Normal"/>
    <w:next w:val="Normal"/>
    <w:link w:val="TitleChar"/>
    <w:uiPriority w:val="10"/>
    <w:qFormat/>
    <w:rsid w:val="004E3E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E3E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E3E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E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D5"/>
    <w:pPr>
      <w:spacing w:before="160"/>
      <w:jc w:val="center"/>
    </w:pPr>
    <w:rPr>
      <w:i/>
      <w:iCs/>
      <w:color w:val="404040" w:themeColor="text1" w:themeTint="BF"/>
    </w:rPr>
  </w:style>
  <w:style w:type="character" w:styleId="QuoteChar" w:customStyle="1">
    <w:name w:val="Quote Char"/>
    <w:basedOn w:val="DefaultParagraphFont"/>
    <w:link w:val="Quote"/>
    <w:uiPriority w:val="29"/>
    <w:rsid w:val="004E3ED5"/>
    <w:rPr>
      <w:i/>
      <w:iCs/>
      <w:color w:val="404040" w:themeColor="text1" w:themeTint="BF"/>
    </w:rPr>
  </w:style>
  <w:style w:type="paragraph" w:styleId="ListParagraph">
    <w:name w:val="List Paragraph"/>
    <w:basedOn w:val="Normal"/>
    <w:uiPriority w:val="34"/>
    <w:qFormat/>
    <w:rsid w:val="004E3ED5"/>
    <w:pPr>
      <w:ind w:left="720"/>
      <w:contextualSpacing/>
    </w:pPr>
  </w:style>
  <w:style w:type="character" w:styleId="IntenseEmphasis">
    <w:name w:val="Intense Emphasis"/>
    <w:basedOn w:val="DefaultParagraphFont"/>
    <w:uiPriority w:val="21"/>
    <w:qFormat/>
    <w:rsid w:val="004E3ED5"/>
    <w:rPr>
      <w:i/>
      <w:iCs/>
      <w:color w:val="0F4761" w:themeColor="accent1" w:themeShade="BF"/>
    </w:rPr>
  </w:style>
  <w:style w:type="paragraph" w:styleId="IntenseQuote">
    <w:name w:val="Intense Quote"/>
    <w:basedOn w:val="Normal"/>
    <w:next w:val="Normal"/>
    <w:link w:val="IntenseQuoteChar"/>
    <w:uiPriority w:val="30"/>
    <w:qFormat/>
    <w:rsid w:val="004E3E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E3ED5"/>
    <w:rPr>
      <w:i/>
      <w:iCs/>
      <w:color w:val="0F4761" w:themeColor="accent1" w:themeShade="BF"/>
    </w:rPr>
  </w:style>
  <w:style w:type="character" w:styleId="IntenseReference">
    <w:name w:val="Intense Reference"/>
    <w:basedOn w:val="DefaultParagraphFont"/>
    <w:uiPriority w:val="32"/>
    <w:qFormat/>
    <w:rsid w:val="004E3E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925">
      <w:bodyDiv w:val="1"/>
      <w:marLeft w:val="0"/>
      <w:marRight w:val="0"/>
      <w:marTop w:val="0"/>
      <w:marBottom w:val="0"/>
      <w:divBdr>
        <w:top w:val="none" w:sz="0" w:space="0" w:color="auto"/>
        <w:left w:val="none" w:sz="0" w:space="0" w:color="auto"/>
        <w:bottom w:val="none" w:sz="0" w:space="0" w:color="auto"/>
        <w:right w:val="none" w:sz="0" w:space="0" w:color="auto"/>
      </w:divBdr>
      <w:divsChild>
        <w:div w:id="1000618069">
          <w:marLeft w:val="0"/>
          <w:marRight w:val="0"/>
          <w:marTop w:val="0"/>
          <w:marBottom w:val="160"/>
          <w:divBdr>
            <w:top w:val="none" w:sz="0" w:space="0" w:color="auto"/>
            <w:left w:val="none" w:sz="0" w:space="0" w:color="auto"/>
            <w:bottom w:val="none" w:sz="0" w:space="0" w:color="auto"/>
            <w:right w:val="none" w:sz="0" w:space="0" w:color="auto"/>
          </w:divBdr>
        </w:div>
        <w:div w:id="189454037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EFD0375DA704BA49659E94DDA4C38" ma:contentTypeVersion="11" ma:contentTypeDescription="Create a new document." ma:contentTypeScope="" ma:versionID="bd5914e78fc5ce5e894e8aaf2428fd7b">
  <xsd:schema xmlns:xsd="http://www.w3.org/2001/XMLSchema" xmlns:xs="http://www.w3.org/2001/XMLSchema" xmlns:p="http://schemas.microsoft.com/office/2006/metadata/properties" xmlns:ns2="ca965143-ad60-426b-8470-e568a8e2242f" xmlns:ns3="6b68d054-987e-4406-8665-68f7f083f6ca" targetNamespace="http://schemas.microsoft.com/office/2006/metadata/properties" ma:root="true" ma:fieldsID="34b62c42a555dcc7e972096f0f9231a3" ns2:_="" ns3:_="">
    <xsd:import namespace="ca965143-ad60-426b-8470-e568a8e2242f"/>
    <xsd:import namespace="6b68d054-987e-4406-8665-68f7f083f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65143-ad60-426b-8470-e568a8e22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b6367-41f7-4011-aa2b-36e22283e0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8d054-987e-4406-8665-68f7f083f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19c5d0-1b02-478b-b868-49a05337160c}" ma:internalName="TaxCatchAll" ma:showField="CatchAllData" ma:web="6b68d054-987e-4406-8665-68f7f083f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68d054-987e-4406-8665-68f7f083f6ca" xsi:nil="true"/>
    <lcf76f155ced4ddcb4097134ff3c332f xmlns="ca965143-ad60-426b-8470-e568a8e224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DCF10-510F-4714-AAB4-0717BD9EA5CD}"/>
</file>

<file path=customXml/itemProps2.xml><?xml version="1.0" encoding="utf-8"?>
<ds:datastoreItem xmlns:ds="http://schemas.openxmlformats.org/officeDocument/2006/customXml" ds:itemID="{4868F734-EE10-4D47-82EC-205D8A20E2C7}">
  <ds:schemaRefs>
    <ds:schemaRef ds:uri="http://schemas.microsoft.com/office/2006/metadata/properties"/>
    <ds:schemaRef ds:uri="http://schemas.microsoft.com/office/infopath/2007/PartnerControls"/>
    <ds:schemaRef ds:uri="6b68d054-987e-4406-8665-68f7f083f6ca"/>
    <ds:schemaRef ds:uri="ca965143-ad60-426b-8470-e568a8e2242f"/>
  </ds:schemaRefs>
</ds:datastoreItem>
</file>

<file path=customXml/itemProps3.xml><?xml version="1.0" encoding="utf-8"?>
<ds:datastoreItem xmlns:ds="http://schemas.openxmlformats.org/officeDocument/2006/customXml" ds:itemID="{52EEABD0-45F7-4A8F-9C95-3A1231F471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Gray</dc:creator>
  <keywords/>
  <dc:description/>
  <lastModifiedBy>Bridget Cetrangolo</lastModifiedBy>
  <revision>6</revision>
  <dcterms:created xsi:type="dcterms:W3CDTF">2024-08-06T19:25:00.0000000Z</dcterms:created>
  <dcterms:modified xsi:type="dcterms:W3CDTF">2026-04-14T14:03:01.5113320Z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0x010100903EFD0375DA704BA49659E94DDA4C38</vt:lpwstr>
  </property>
  <property fmtid="{D5CDD505-2E9C-101B-9397-08002B2CF9AE}" pid="3" name="MediaServiceImageTags">
    <vt:lpwstr/>
  </property>
</Properties>
</file>