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3C54" w14:textId="1B99C14E" w:rsidR="00192406" w:rsidRPr="00D4474C" w:rsidRDefault="00D4474C">
      <w:pPr>
        <w:rPr>
          <w:b/>
          <w:bCs/>
          <w:u w:val="single"/>
        </w:rPr>
      </w:pPr>
      <w:r w:rsidRPr="00D4474C">
        <w:rPr>
          <w:b/>
          <w:bCs/>
          <w:u w:val="single"/>
        </w:rPr>
        <w:t>Chapter 5, Page 5-13</w:t>
      </w:r>
    </w:p>
    <w:p w14:paraId="5B4F76A5" w14:textId="77777777" w:rsidR="00D4474C" w:rsidRDefault="00D4474C" w:rsidP="00FF41B4">
      <w:pPr>
        <w:keepNext/>
        <w:tabs>
          <w:tab w:val="clear" w:pos="360"/>
          <w:tab w:val="clear" w:pos="1080"/>
          <w:tab w:val="clear" w:pos="1440"/>
        </w:tabs>
        <w:rPr>
          <w:u w:val="single"/>
        </w:rPr>
      </w:pPr>
      <w:r>
        <w:rPr>
          <w:u w:val="single"/>
        </w:rPr>
        <w:t>PHA Policy</w:t>
      </w:r>
    </w:p>
    <w:p w14:paraId="12878D0F" w14:textId="77777777" w:rsidR="00D4474C" w:rsidRPr="00B46107" w:rsidRDefault="00D4474C" w:rsidP="00FF41B4">
      <w:pPr>
        <w:tabs>
          <w:tab w:val="clear" w:pos="360"/>
          <w:tab w:val="clear" w:pos="1080"/>
          <w:tab w:val="clear" w:pos="1440"/>
        </w:tabs>
      </w:pPr>
      <w:r w:rsidRPr="00B46107">
        <w:t xml:space="preserve">The PHA will assign one bedroom for each two </w:t>
      </w:r>
      <w:proofErr w:type="gramStart"/>
      <w:r w:rsidRPr="00B46107">
        <w:t>persons</w:t>
      </w:r>
      <w:proofErr w:type="gramEnd"/>
      <w:r w:rsidRPr="00B46107">
        <w:t xml:space="preserve"> within the household, except in the following circumstances:</w:t>
      </w:r>
    </w:p>
    <w:p w14:paraId="753B2840" w14:textId="77777777" w:rsidR="00D4474C" w:rsidRDefault="00D4474C" w:rsidP="008F2D44">
      <w:pPr>
        <w:ind w:left="360"/>
        <w:rPr>
          <w:strike/>
        </w:rPr>
      </w:pPr>
      <w:proofErr w:type="gramStart"/>
      <w:r w:rsidRPr="00D4474C">
        <w:rPr>
          <w:strike/>
        </w:rPr>
        <w:t>Persons</w:t>
      </w:r>
      <w:proofErr w:type="gramEnd"/>
      <w:r w:rsidRPr="00D4474C">
        <w:rPr>
          <w:strike/>
        </w:rPr>
        <w:t xml:space="preserve"> of different genders (other than spouses/domestic partners and children under age 5) will be allocated separate bedrooms.</w:t>
      </w:r>
    </w:p>
    <w:p w14:paraId="0CB4AE59" w14:textId="36B5B9D3" w:rsidR="00FF41B4" w:rsidRPr="00FF41B4" w:rsidRDefault="00FF41B4" w:rsidP="008F2D44">
      <w:pPr>
        <w:ind w:left="360"/>
      </w:pPr>
      <w:proofErr w:type="gramStart"/>
      <w:r w:rsidRPr="00FF41B4">
        <w:t>Persons</w:t>
      </w:r>
      <w:proofErr w:type="gramEnd"/>
      <w:r w:rsidRPr="00FF41B4">
        <w:t xml:space="preserve"> of different generations (</w:t>
      </w:r>
      <w:r>
        <w:t xml:space="preserve">such as </w:t>
      </w:r>
      <w:proofErr w:type="gramStart"/>
      <w:r>
        <w:t>a parent</w:t>
      </w:r>
      <w:proofErr w:type="gramEnd"/>
      <w:r>
        <w:t xml:space="preserve"> and </w:t>
      </w:r>
      <w:proofErr w:type="gramStart"/>
      <w:r>
        <w:t>child</w:t>
      </w:r>
      <w:proofErr w:type="gramEnd"/>
      <w:r>
        <w:t>) will be allocated separate bedrooms.</w:t>
      </w:r>
    </w:p>
    <w:p w14:paraId="79841B1A" w14:textId="77777777" w:rsidR="00D4474C" w:rsidRDefault="00D4474C" w:rsidP="008F2D44">
      <w:pPr>
        <w:ind w:left="360"/>
      </w:pPr>
      <w:r w:rsidRPr="00B46107">
        <w:t xml:space="preserve">Adults of the same </w:t>
      </w:r>
      <w:r>
        <w:t>gender</w:t>
      </w:r>
      <w:r w:rsidRPr="00B46107">
        <w:t xml:space="preserve">, who </w:t>
      </w:r>
      <w:r>
        <w:t xml:space="preserve">are </w:t>
      </w:r>
      <w:r w:rsidRPr="00B46107">
        <w:t xml:space="preserve">not </w:t>
      </w:r>
      <w:r w:rsidRPr="0009480A">
        <w:t>married or in a domestic partners</w:t>
      </w:r>
      <w:r>
        <w:t>hip (such as adult siblings)</w:t>
      </w:r>
      <w:r w:rsidRPr="00B46107">
        <w:t xml:space="preserve">, will be allocated separate bedrooms. </w:t>
      </w:r>
    </w:p>
    <w:p w14:paraId="3760A335" w14:textId="10B90048" w:rsidR="00FF41B4" w:rsidRPr="00B46107" w:rsidRDefault="00FF41B4" w:rsidP="008F2D44">
      <w:pPr>
        <w:ind w:left="360"/>
      </w:pPr>
      <w:r>
        <w:t xml:space="preserve">One bedroom will be allocated for every two children, regardless of age or gender. </w:t>
      </w:r>
    </w:p>
    <w:p w14:paraId="5C10BE63" w14:textId="77777777" w:rsidR="00D4474C" w:rsidRDefault="00D4474C" w:rsidP="008F2D44">
      <w:pPr>
        <w:ind w:left="360"/>
      </w:pPr>
      <w:r w:rsidRPr="00B46107">
        <w:t xml:space="preserve">Live-in aides will be allocated </w:t>
      </w:r>
      <w:r>
        <w:t>one</w:t>
      </w:r>
      <w:r w:rsidRPr="00B46107">
        <w:t xml:space="preserve"> separate bedroom</w:t>
      </w:r>
      <w:r>
        <w:t xml:space="preserve">, </w:t>
      </w:r>
      <w:r w:rsidRPr="003B25DD">
        <w:t>regardless of their family size</w:t>
      </w:r>
      <w:r w:rsidRPr="00B46107">
        <w:t xml:space="preserve">. </w:t>
      </w:r>
    </w:p>
    <w:p w14:paraId="0964C53E" w14:textId="4B5AB16F" w:rsidR="00D4474C" w:rsidRDefault="00D4474C" w:rsidP="008F2D44">
      <w:pPr>
        <w:ind w:left="360"/>
      </w:pPr>
      <w:r>
        <w:t xml:space="preserve">Foster children and foster adults will be included in determining unit size only if they </w:t>
      </w:r>
      <w:r w:rsidR="008F2D44">
        <w:t xml:space="preserve">are anticipated to </w:t>
      </w:r>
      <w:r>
        <w:t xml:space="preserve">be in the unit for more than </w:t>
      </w:r>
      <w:r w:rsidRPr="00E6274E">
        <w:rPr>
          <w:bCs/>
        </w:rPr>
        <w:t>12</w:t>
      </w:r>
      <w:r>
        <w:t xml:space="preserve"> months.</w:t>
      </w:r>
    </w:p>
    <w:p w14:paraId="79EF96DD" w14:textId="03947C1D" w:rsidR="00D4474C" w:rsidRDefault="00D4474C" w:rsidP="008F2D44">
      <w:r>
        <w:tab/>
      </w:r>
      <w:r w:rsidRPr="00B46107">
        <w:t>Single person families will be allocated one bedroom.</w:t>
      </w:r>
    </w:p>
    <w:p w14:paraId="777B9717" w14:textId="2CE3BAC6" w:rsidR="00D4474C" w:rsidRPr="008F2D44" w:rsidRDefault="00D4474C" w:rsidP="00FF41B4">
      <w:pPr>
        <w:ind w:left="360"/>
        <w:rPr>
          <w:highlight w:val="yellow"/>
        </w:rPr>
      </w:pPr>
      <w:r w:rsidRPr="008F2D44">
        <w:rPr>
          <w:highlight w:val="yellow"/>
        </w:rPr>
        <w:t xml:space="preserve">If a family includes a pregnant member, the unborn child will </w:t>
      </w:r>
      <w:r w:rsidR="008F2D44" w:rsidRPr="008F2D44">
        <w:rPr>
          <w:highlight w:val="yellow"/>
        </w:rPr>
        <w:t xml:space="preserve">not </w:t>
      </w:r>
      <w:r w:rsidRPr="008F2D44">
        <w:rPr>
          <w:highlight w:val="yellow"/>
        </w:rPr>
        <w:t xml:space="preserve">be included in the household composition for the </w:t>
      </w:r>
      <w:proofErr w:type="gramStart"/>
      <w:r w:rsidRPr="008F2D44">
        <w:rPr>
          <w:highlight w:val="yellow"/>
        </w:rPr>
        <w:t>purposes</w:t>
      </w:r>
      <w:proofErr w:type="gramEnd"/>
      <w:r w:rsidRPr="008F2D44">
        <w:rPr>
          <w:highlight w:val="yellow"/>
        </w:rPr>
        <w:t xml:space="preserve"> of determining voucher size. </w:t>
      </w:r>
    </w:p>
    <w:p w14:paraId="6C0DF26A" w14:textId="48BC680C" w:rsidR="008F2D44" w:rsidRDefault="008F2D44" w:rsidP="00FF41B4">
      <w:pPr>
        <w:ind w:left="360"/>
      </w:pPr>
      <w:r w:rsidRPr="008F2D44">
        <w:rPr>
          <w:highlight w:val="yellow"/>
        </w:rPr>
        <w:t xml:space="preserve">Family members who are absent from the household more than 50% of the </w:t>
      </w:r>
      <w:proofErr w:type="gramStart"/>
      <w:r w:rsidRPr="008F2D44">
        <w:rPr>
          <w:highlight w:val="yellow"/>
        </w:rPr>
        <w:t>time,</w:t>
      </w:r>
      <w:proofErr w:type="gramEnd"/>
      <w:r w:rsidRPr="008F2D44">
        <w:rPr>
          <w:highlight w:val="yellow"/>
        </w:rPr>
        <w:t xml:space="preserve"> will not be allocated a separate bedroom.</w:t>
      </w:r>
      <w:r>
        <w:t xml:space="preserve"> </w:t>
      </w:r>
    </w:p>
    <w:p w14:paraId="14AA10B4" w14:textId="77777777" w:rsidR="00D4474C" w:rsidRDefault="00D4474C"/>
    <w:p w14:paraId="45E92E09" w14:textId="16A40129" w:rsidR="00FF41B4" w:rsidRDefault="00CC6CBE">
      <w:pPr>
        <w:rPr>
          <w:b/>
          <w:bCs/>
          <w:u w:val="single"/>
        </w:rPr>
      </w:pPr>
      <w:r w:rsidRPr="00FF41B4">
        <w:rPr>
          <w:b/>
          <w:bCs/>
          <w:u w:val="single"/>
        </w:rPr>
        <w:t>Chapter 6, Page 6-5</w:t>
      </w:r>
      <w:r w:rsidR="00FF41B4" w:rsidRPr="00FF41B4">
        <w:rPr>
          <w:b/>
          <w:bCs/>
          <w:u w:val="single"/>
        </w:rPr>
        <w:t>7</w:t>
      </w:r>
    </w:p>
    <w:p w14:paraId="726AA562" w14:textId="77777777" w:rsidR="006017F3" w:rsidRDefault="006017F3" w:rsidP="006017F3">
      <w:pPr>
        <w:widowControl w:val="0"/>
        <w:tabs>
          <w:tab w:val="clear" w:pos="360"/>
          <w:tab w:val="clear" w:pos="1080"/>
          <w:tab w:val="clear" w:pos="1440"/>
        </w:tabs>
        <w:autoSpaceDE w:val="0"/>
        <w:autoSpaceDN w:val="0"/>
        <w:spacing w:before="0"/>
        <w:outlineLvl w:val="2"/>
      </w:pPr>
    </w:p>
    <w:p w14:paraId="1ED6B7F6" w14:textId="650B0278" w:rsidR="00FF41B4" w:rsidRPr="00FF41B4" w:rsidRDefault="00FF41B4" w:rsidP="006017F3">
      <w:pPr>
        <w:widowControl w:val="0"/>
        <w:tabs>
          <w:tab w:val="clear" w:pos="360"/>
          <w:tab w:val="clear" w:pos="1080"/>
          <w:tab w:val="clear" w:pos="1440"/>
        </w:tabs>
        <w:autoSpaceDE w:val="0"/>
        <w:autoSpaceDN w:val="0"/>
        <w:spacing w:before="0"/>
        <w:outlineLvl w:val="2"/>
        <w:rPr>
          <w:b/>
          <w:bCs/>
          <w:i/>
          <w:iCs/>
        </w:rPr>
      </w:pPr>
      <w:r w:rsidRPr="00FF41B4">
        <w:rPr>
          <w:b/>
          <w:bCs/>
          <w:i/>
          <w:iCs/>
        </w:rPr>
        <w:t>Minimum</w:t>
      </w:r>
      <w:r w:rsidRPr="00FF41B4">
        <w:rPr>
          <w:b/>
          <w:bCs/>
          <w:i/>
          <w:iCs/>
          <w:spacing w:val="-1"/>
        </w:rPr>
        <w:t xml:space="preserve"> </w:t>
      </w:r>
      <w:r w:rsidRPr="00FF41B4">
        <w:rPr>
          <w:b/>
          <w:bCs/>
          <w:i/>
          <w:iCs/>
        </w:rPr>
        <w:t>Rent</w:t>
      </w:r>
      <w:r w:rsidRPr="00FF41B4">
        <w:rPr>
          <w:b/>
          <w:bCs/>
          <w:i/>
          <w:iCs/>
          <w:spacing w:val="-1"/>
        </w:rPr>
        <w:t xml:space="preserve"> </w:t>
      </w:r>
      <w:r w:rsidRPr="00FF41B4">
        <w:rPr>
          <w:b/>
          <w:bCs/>
          <w:i/>
          <w:iCs/>
        </w:rPr>
        <w:t>[24</w:t>
      </w:r>
      <w:r w:rsidRPr="00FF41B4">
        <w:rPr>
          <w:b/>
          <w:bCs/>
          <w:i/>
          <w:iCs/>
          <w:spacing w:val="-1"/>
        </w:rPr>
        <w:t xml:space="preserve"> </w:t>
      </w:r>
      <w:r w:rsidRPr="00FF41B4">
        <w:rPr>
          <w:b/>
          <w:bCs/>
          <w:i/>
          <w:iCs/>
        </w:rPr>
        <w:t>CFR</w:t>
      </w:r>
      <w:r w:rsidRPr="00FF41B4">
        <w:rPr>
          <w:b/>
          <w:bCs/>
          <w:i/>
          <w:iCs/>
          <w:spacing w:val="-2"/>
        </w:rPr>
        <w:t xml:space="preserve"> 5.630]</w:t>
      </w:r>
    </w:p>
    <w:p w14:paraId="2E5C23D2" w14:textId="77777777" w:rsidR="00FF41B4" w:rsidRPr="00FF41B4" w:rsidRDefault="00FF41B4" w:rsidP="006017F3">
      <w:pPr>
        <w:widowControl w:val="0"/>
        <w:tabs>
          <w:tab w:val="clear" w:pos="360"/>
          <w:tab w:val="clear" w:pos="1080"/>
          <w:tab w:val="clear" w:pos="1440"/>
        </w:tabs>
        <w:autoSpaceDE w:val="0"/>
        <w:autoSpaceDN w:val="0"/>
        <w:ind w:left="720"/>
      </w:pPr>
      <w:r w:rsidRPr="00FF41B4">
        <w:rPr>
          <w:u w:val="single"/>
        </w:rPr>
        <w:t>PHA</w:t>
      </w:r>
      <w:r w:rsidRPr="00FF41B4">
        <w:rPr>
          <w:spacing w:val="-1"/>
          <w:u w:val="single"/>
        </w:rPr>
        <w:t xml:space="preserve"> </w:t>
      </w:r>
      <w:r w:rsidRPr="00FF41B4">
        <w:rPr>
          <w:spacing w:val="-2"/>
          <w:u w:val="single"/>
        </w:rPr>
        <w:t>Policy</w:t>
      </w:r>
    </w:p>
    <w:p w14:paraId="1FD705C2" w14:textId="1D97E1EB" w:rsidR="00FF41B4" w:rsidRPr="00FF41B4" w:rsidRDefault="00FF41B4" w:rsidP="006017F3">
      <w:pPr>
        <w:widowControl w:val="0"/>
        <w:tabs>
          <w:tab w:val="clear" w:pos="360"/>
          <w:tab w:val="clear" w:pos="1080"/>
          <w:tab w:val="clear" w:pos="1440"/>
        </w:tabs>
        <w:autoSpaceDE w:val="0"/>
        <w:autoSpaceDN w:val="0"/>
        <w:spacing w:before="125"/>
        <w:ind w:left="720"/>
        <w:outlineLvl w:val="1"/>
      </w:pPr>
      <w:r w:rsidRPr="00086A55">
        <w:rPr>
          <w:highlight w:val="yellow"/>
        </w:rPr>
        <w:t>The</w:t>
      </w:r>
      <w:r w:rsidRPr="00086A55">
        <w:rPr>
          <w:spacing w:val="-3"/>
          <w:highlight w:val="yellow"/>
        </w:rPr>
        <w:t xml:space="preserve"> </w:t>
      </w:r>
      <w:r w:rsidRPr="00086A55">
        <w:rPr>
          <w:highlight w:val="yellow"/>
        </w:rPr>
        <w:t>minimum</w:t>
      </w:r>
      <w:r w:rsidRPr="00086A55">
        <w:rPr>
          <w:spacing w:val="-3"/>
          <w:highlight w:val="yellow"/>
        </w:rPr>
        <w:t xml:space="preserve"> </w:t>
      </w:r>
      <w:r w:rsidRPr="00086A55">
        <w:rPr>
          <w:highlight w:val="yellow"/>
        </w:rPr>
        <w:t>rent</w:t>
      </w:r>
      <w:r w:rsidRPr="00086A55">
        <w:rPr>
          <w:spacing w:val="-1"/>
          <w:highlight w:val="yellow"/>
        </w:rPr>
        <w:t xml:space="preserve"> </w:t>
      </w:r>
      <w:r w:rsidRPr="00086A55">
        <w:rPr>
          <w:highlight w:val="yellow"/>
        </w:rPr>
        <w:t>is</w:t>
      </w:r>
      <w:r w:rsidRPr="00086A55">
        <w:rPr>
          <w:spacing w:val="-1"/>
          <w:highlight w:val="yellow"/>
        </w:rPr>
        <w:t xml:space="preserve"> </w:t>
      </w:r>
      <w:r w:rsidRPr="00086A55">
        <w:rPr>
          <w:spacing w:val="-4"/>
          <w:highlight w:val="yellow"/>
        </w:rPr>
        <w:t>$50.</w:t>
      </w:r>
    </w:p>
    <w:p w14:paraId="293EB974" w14:textId="77777777" w:rsidR="00FF41B4" w:rsidRDefault="00FF41B4" w:rsidP="006017F3"/>
    <w:p w14:paraId="56B08A5A" w14:textId="3D531F22" w:rsidR="00FF41B4" w:rsidRPr="00FF41B4" w:rsidRDefault="00FF41B4" w:rsidP="00FF41B4">
      <w:pPr>
        <w:rPr>
          <w:b/>
          <w:bCs/>
          <w:u w:val="single"/>
        </w:rPr>
      </w:pPr>
      <w:r w:rsidRPr="00FF41B4">
        <w:rPr>
          <w:b/>
          <w:bCs/>
          <w:u w:val="single"/>
        </w:rPr>
        <w:t>Chapter 6, Page 6-5</w:t>
      </w:r>
      <w:r>
        <w:rPr>
          <w:b/>
          <w:bCs/>
          <w:u w:val="single"/>
        </w:rPr>
        <w:t>9</w:t>
      </w:r>
    </w:p>
    <w:p w14:paraId="3CCC5011" w14:textId="77777777" w:rsidR="006017F3" w:rsidRDefault="00CC6CBE" w:rsidP="006017F3">
      <w:pPr>
        <w:pStyle w:val="BodyText"/>
        <w:spacing w:before="115"/>
        <w:ind w:left="0" w:right="217"/>
      </w:pPr>
      <w:r>
        <w:t>If</w:t>
      </w:r>
      <w:r>
        <w:rPr>
          <w:spacing w:val="-2"/>
        </w:rPr>
        <w:t xml:space="preserve"> </w:t>
      </w:r>
      <w:r>
        <w:t>the</w:t>
      </w:r>
      <w:r>
        <w:rPr>
          <w:spacing w:val="-3"/>
        </w:rPr>
        <w:t xml:space="preserve"> </w:t>
      </w:r>
      <w:r>
        <w:t>PHA</w:t>
      </w:r>
      <w:r>
        <w:rPr>
          <w:spacing w:val="-3"/>
        </w:rPr>
        <w:t xml:space="preserve"> </w:t>
      </w:r>
      <w:r>
        <w:t>establishes</w:t>
      </w:r>
      <w:r>
        <w:rPr>
          <w:spacing w:val="-1"/>
        </w:rPr>
        <w:t xml:space="preserve"> </w:t>
      </w:r>
      <w:r>
        <w:t>a</w:t>
      </w:r>
      <w:r>
        <w:rPr>
          <w:spacing w:val="-2"/>
        </w:rPr>
        <w:t xml:space="preserve"> </w:t>
      </w:r>
      <w:r>
        <w:t>minimum</w:t>
      </w:r>
      <w:r>
        <w:rPr>
          <w:spacing w:val="-3"/>
        </w:rPr>
        <w:t xml:space="preserve"> </w:t>
      </w:r>
      <w:r>
        <w:t>rent</w:t>
      </w:r>
      <w:r>
        <w:rPr>
          <w:spacing w:val="-3"/>
        </w:rPr>
        <w:t xml:space="preserve"> </w:t>
      </w:r>
      <w:r>
        <w:t>greater</w:t>
      </w:r>
      <w:r>
        <w:rPr>
          <w:spacing w:val="-5"/>
        </w:rPr>
        <w:t xml:space="preserve"> </w:t>
      </w:r>
      <w:r>
        <w:t>than</w:t>
      </w:r>
      <w:r>
        <w:rPr>
          <w:spacing w:val="-3"/>
        </w:rPr>
        <w:t xml:space="preserve"> </w:t>
      </w:r>
      <w:r>
        <w:t>zero,</w:t>
      </w:r>
      <w:r>
        <w:rPr>
          <w:spacing w:val="-3"/>
        </w:rPr>
        <w:t xml:space="preserve"> </w:t>
      </w:r>
      <w:r>
        <w:t>the</w:t>
      </w:r>
      <w:r>
        <w:rPr>
          <w:spacing w:val="-4"/>
        </w:rPr>
        <w:t xml:space="preserve"> </w:t>
      </w:r>
      <w:r>
        <w:t>PHA</w:t>
      </w:r>
      <w:r>
        <w:rPr>
          <w:spacing w:val="-4"/>
        </w:rPr>
        <w:t xml:space="preserve"> </w:t>
      </w:r>
      <w:r>
        <w:t>must</w:t>
      </w:r>
      <w:r>
        <w:rPr>
          <w:spacing w:val="-3"/>
        </w:rPr>
        <w:t xml:space="preserve"> </w:t>
      </w:r>
      <w:r>
        <w:t>grant</w:t>
      </w:r>
      <w:r>
        <w:rPr>
          <w:spacing w:val="-3"/>
        </w:rPr>
        <w:t xml:space="preserve"> </w:t>
      </w:r>
      <w:r>
        <w:t>an</w:t>
      </w:r>
      <w:r>
        <w:rPr>
          <w:spacing w:val="-3"/>
        </w:rPr>
        <w:t xml:space="preserve"> </w:t>
      </w:r>
      <w:r>
        <w:t>exemption</w:t>
      </w:r>
      <w:r>
        <w:rPr>
          <w:spacing w:val="-3"/>
        </w:rPr>
        <w:t xml:space="preserve"> </w:t>
      </w:r>
      <w:r>
        <w:t>from the minimum rent if a family is unable to pay the minimum rent because of financial hardship.</w:t>
      </w:r>
      <w:r w:rsidR="006017F3">
        <w:t xml:space="preserve"> </w:t>
      </w:r>
    </w:p>
    <w:p w14:paraId="190EB8AC" w14:textId="0057A11C" w:rsidR="00CC6CBE" w:rsidRDefault="00CC6CBE" w:rsidP="006017F3">
      <w:pPr>
        <w:pStyle w:val="BodyText"/>
        <w:spacing w:before="115"/>
        <w:ind w:left="0" w:right="217"/>
      </w:pPr>
      <w:r>
        <w:t>The</w:t>
      </w:r>
      <w:r>
        <w:rPr>
          <w:spacing w:val="-5"/>
        </w:rPr>
        <w:t xml:space="preserve"> </w:t>
      </w:r>
      <w:r>
        <w:t>financial</w:t>
      </w:r>
      <w:r>
        <w:rPr>
          <w:spacing w:val="-3"/>
        </w:rPr>
        <w:t xml:space="preserve"> </w:t>
      </w:r>
      <w:proofErr w:type="gramStart"/>
      <w:r>
        <w:t>hardship</w:t>
      </w:r>
      <w:proofErr w:type="gramEnd"/>
      <w:r>
        <w:rPr>
          <w:spacing w:val="-3"/>
        </w:rPr>
        <w:t xml:space="preserve"> </w:t>
      </w:r>
      <w:r>
        <w:t>exemption</w:t>
      </w:r>
      <w:r>
        <w:rPr>
          <w:spacing w:val="-3"/>
        </w:rPr>
        <w:t xml:space="preserve"> </w:t>
      </w:r>
      <w:r>
        <w:t>applies</w:t>
      </w:r>
      <w:r>
        <w:rPr>
          <w:spacing w:val="-3"/>
        </w:rPr>
        <w:t xml:space="preserve"> </w:t>
      </w:r>
      <w:r>
        <w:t>only</w:t>
      </w:r>
      <w:r>
        <w:rPr>
          <w:spacing w:val="-7"/>
        </w:rPr>
        <w:t xml:space="preserve"> </w:t>
      </w:r>
      <w:r>
        <w:t>to</w:t>
      </w:r>
      <w:r>
        <w:rPr>
          <w:spacing w:val="-3"/>
        </w:rPr>
        <w:t xml:space="preserve"> </w:t>
      </w:r>
      <w:r>
        <w:t>families</w:t>
      </w:r>
      <w:r>
        <w:rPr>
          <w:spacing w:val="-3"/>
        </w:rPr>
        <w:t xml:space="preserve"> </w:t>
      </w:r>
      <w:r>
        <w:t>required</w:t>
      </w:r>
      <w:r>
        <w:rPr>
          <w:spacing w:val="-3"/>
        </w:rPr>
        <w:t xml:space="preserve"> </w:t>
      </w:r>
      <w:r>
        <w:t>to</w:t>
      </w:r>
      <w:r>
        <w:rPr>
          <w:spacing w:val="-3"/>
        </w:rPr>
        <w:t xml:space="preserve"> </w:t>
      </w:r>
      <w:r>
        <w:t>pay</w:t>
      </w:r>
      <w:r>
        <w:rPr>
          <w:spacing w:val="-7"/>
        </w:rPr>
        <w:t xml:space="preserve"> </w:t>
      </w:r>
      <w:r>
        <w:t>the</w:t>
      </w:r>
      <w:r>
        <w:rPr>
          <w:spacing w:val="-4"/>
        </w:rPr>
        <w:t xml:space="preserve"> </w:t>
      </w:r>
      <w:r>
        <w:t>minimum</w:t>
      </w:r>
      <w:r>
        <w:rPr>
          <w:spacing w:val="-3"/>
        </w:rPr>
        <w:t xml:space="preserve"> </w:t>
      </w:r>
      <w:r>
        <w:t>rent.</w:t>
      </w:r>
      <w:r>
        <w:rPr>
          <w:spacing w:val="-1"/>
        </w:rPr>
        <w:t xml:space="preserve"> </w:t>
      </w:r>
      <w:r>
        <w:t>If a family’s TTP is higher than the minimum rent, the family is not eligible for a hardship exemption. If the PHA determines that a hardship exists, the family share is the highest of the remaining components of the family’s calculated TTP.</w:t>
      </w:r>
    </w:p>
    <w:p w14:paraId="005CB620" w14:textId="77777777" w:rsidR="006017F3" w:rsidRPr="006017F3" w:rsidRDefault="006017F3" w:rsidP="006017F3">
      <w:pPr>
        <w:pStyle w:val="BodyText"/>
        <w:spacing w:before="115"/>
        <w:ind w:left="0" w:right="217"/>
      </w:pPr>
      <w:r w:rsidRPr="006017F3">
        <w:rPr>
          <w:b/>
          <w:bCs/>
        </w:rPr>
        <w:t xml:space="preserve">HUD-Defined Financial Hardship </w:t>
      </w:r>
    </w:p>
    <w:p w14:paraId="7FC3A4E4" w14:textId="77777777" w:rsidR="006017F3" w:rsidRPr="006017F3" w:rsidRDefault="006017F3" w:rsidP="006017F3">
      <w:pPr>
        <w:pStyle w:val="BodyText"/>
        <w:spacing w:before="115"/>
        <w:ind w:left="0" w:right="217"/>
      </w:pPr>
      <w:r w:rsidRPr="006017F3">
        <w:t xml:space="preserve">Financial hardship includes the following situations: </w:t>
      </w:r>
    </w:p>
    <w:p w14:paraId="0F99B2AC" w14:textId="77777777" w:rsidR="006017F3" w:rsidRPr="006017F3" w:rsidRDefault="006017F3" w:rsidP="006017F3">
      <w:pPr>
        <w:pStyle w:val="BodyText"/>
        <w:spacing w:before="115"/>
        <w:ind w:left="0" w:right="217"/>
      </w:pPr>
      <w:r w:rsidRPr="006017F3">
        <w:t xml:space="preserve">(1) The family has lost eligibility for or is awaiting an eligibility determination for a federal, </w:t>
      </w:r>
      <w:r w:rsidRPr="006017F3">
        <w:lastRenderedPageBreak/>
        <w:t xml:space="preserve">state, or local assistance program. This includes a family member who is a noncitizen lawfully admitted for permanent residence under the Immigration and Nationality Act who would be entitled to public benefits but for Title IV of the Personal Responsibility and Work Opportunity Act of 1996. </w:t>
      </w:r>
    </w:p>
    <w:p w14:paraId="16682B4E" w14:textId="77777777" w:rsidR="006017F3" w:rsidRPr="006017F3" w:rsidRDefault="006017F3" w:rsidP="006017F3">
      <w:pPr>
        <w:pStyle w:val="BodyText"/>
        <w:spacing w:before="115"/>
        <w:ind w:left="720" w:right="217"/>
        <w:rPr>
          <w:u w:val="single"/>
        </w:rPr>
      </w:pPr>
      <w:r w:rsidRPr="006017F3">
        <w:rPr>
          <w:u w:val="single"/>
        </w:rPr>
        <w:t xml:space="preserve">PHA Policy </w:t>
      </w:r>
    </w:p>
    <w:p w14:paraId="3552195E" w14:textId="4B81B0DC" w:rsidR="006017F3" w:rsidRPr="006017F3" w:rsidRDefault="006017F3" w:rsidP="006017F3">
      <w:pPr>
        <w:pStyle w:val="BodyText"/>
        <w:spacing w:before="115"/>
        <w:ind w:left="720" w:right="217"/>
      </w:pPr>
      <w:r w:rsidRPr="006017F3">
        <w:rPr>
          <w:highlight w:val="yellow"/>
        </w:rPr>
        <w:t>A hardship will be considered to exist only if the loss of eligibility was due to no fault of the family. Loss of eligibility due to the family’s actions, or inactions, will not be considered.</w:t>
      </w:r>
      <w:r>
        <w:t xml:space="preserve"> </w:t>
      </w:r>
      <w:r w:rsidRPr="006017F3">
        <w:t xml:space="preserve"> </w:t>
      </w:r>
    </w:p>
    <w:p w14:paraId="29A3F04F" w14:textId="77777777" w:rsidR="006017F3" w:rsidRPr="006017F3" w:rsidRDefault="006017F3" w:rsidP="006017F3">
      <w:pPr>
        <w:pStyle w:val="BodyText"/>
        <w:spacing w:before="115"/>
        <w:ind w:left="720" w:right="217"/>
      </w:pPr>
      <w:r w:rsidRPr="006017F3">
        <w:t xml:space="preserve">For a family waiting for a determination of eligibility, the hardship period will end as of the first of the month following (1) implementation of assistance, if approved, or (2) the decision to deny assistance. A family whose request for assistance is denied may request a hardship exemption based upon one of the other allowable hardship circumstances. </w:t>
      </w:r>
    </w:p>
    <w:p w14:paraId="1146D347" w14:textId="77777777" w:rsidR="006017F3" w:rsidRPr="006017F3" w:rsidRDefault="006017F3" w:rsidP="006017F3">
      <w:pPr>
        <w:pStyle w:val="BodyText"/>
        <w:spacing w:before="115"/>
        <w:ind w:left="0" w:right="217"/>
      </w:pPr>
      <w:r w:rsidRPr="006017F3">
        <w:t xml:space="preserve">(2) The family would be evicted because it is unable to pay the minimum rent. </w:t>
      </w:r>
    </w:p>
    <w:p w14:paraId="652416B2" w14:textId="77777777" w:rsidR="006017F3" w:rsidRPr="006017F3" w:rsidRDefault="006017F3" w:rsidP="006017F3">
      <w:pPr>
        <w:pStyle w:val="BodyText"/>
        <w:spacing w:before="115"/>
        <w:ind w:left="720" w:right="217"/>
        <w:rPr>
          <w:u w:val="single"/>
        </w:rPr>
      </w:pPr>
      <w:r w:rsidRPr="006017F3">
        <w:rPr>
          <w:u w:val="single"/>
        </w:rPr>
        <w:t xml:space="preserve">PHA Policy </w:t>
      </w:r>
    </w:p>
    <w:p w14:paraId="34878494" w14:textId="7260A69F" w:rsidR="006017F3" w:rsidRPr="006017F3" w:rsidRDefault="006017F3" w:rsidP="006017F3">
      <w:pPr>
        <w:pStyle w:val="BodyText"/>
        <w:spacing w:before="115"/>
        <w:ind w:left="720" w:right="217"/>
      </w:pPr>
      <w:r w:rsidRPr="006017F3">
        <w:t xml:space="preserve">For a family to qualify under this provision, </w:t>
      </w:r>
      <w:r w:rsidRPr="006017F3">
        <w:rPr>
          <w:highlight w:val="yellow"/>
        </w:rPr>
        <w:t xml:space="preserve">the </w:t>
      </w:r>
      <w:r w:rsidRPr="008D018E">
        <w:rPr>
          <w:highlight w:val="yellow"/>
        </w:rPr>
        <w:t xml:space="preserve">family must have been served </w:t>
      </w:r>
      <w:proofErr w:type="gramStart"/>
      <w:r w:rsidRPr="008D018E">
        <w:rPr>
          <w:highlight w:val="yellow"/>
        </w:rPr>
        <w:t>a formal</w:t>
      </w:r>
      <w:proofErr w:type="gramEnd"/>
      <w:r w:rsidRPr="008D018E">
        <w:rPr>
          <w:highlight w:val="yellow"/>
        </w:rPr>
        <w:t xml:space="preserve"> notice of eviction</w:t>
      </w:r>
      <w:r w:rsidR="005A6999">
        <w:rPr>
          <w:highlight w:val="yellow"/>
        </w:rPr>
        <w:t xml:space="preserve">, such as a </w:t>
      </w:r>
      <w:r w:rsidR="00E400B1">
        <w:rPr>
          <w:highlight w:val="yellow"/>
        </w:rPr>
        <w:t>Notice to Vacate or Notice to Quit</w:t>
      </w:r>
      <w:r w:rsidR="008D018E" w:rsidRPr="008D018E">
        <w:rPr>
          <w:highlight w:val="yellow"/>
        </w:rPr>
        <w:t>.</w:t>
      </w:r>
      <w:r w:rsidR="008D018E">
        <w:t xml:space="preserve"> The </w:t>
      </w:r>
      <w:r w:rsidRPr="006017F3">
        <w:t xml:space="preserve">cause of the potential eviction must </w:t>
      </w:r>
      <w:r w:rsidR="008D018E" w:rsidRPr="008D018E">
        <w:rPr>
          <w:highlight w:val="yellow"/>
        </w:rPr>
        <w:t>only</w:t>
      </w:r>
      <w:r w:rsidR="008D018E">
        <w:t xml:space="preserve"> </w:t>
      </w:r>
      <w:r w:rsidRPr="006017F3">
        <w:t xml:space="preserve">be the family’s failure to pay rent to the owner or tenant-paid utilities. </w:t>
      </w:r>
    </w:p>
    <w:p w14:paraId="7AC608B5" w14:textId="4DF5FA68" w:rsidR="006017F3" w:rsidRDefault="006017F3" w:rsidP="006017F3">
      <w:pPr>
        <w:pStyle w:val="BodyText"/>
        <w:spacing w:before="115"/>
        <w:ind w:left="-220" w:right="217"/>
      </w:pPr>
      <w:r w:rsidRPr="006017F3">
        <w:t>(3) Family income has decreased because of changed family circumstances, including the loss of employment.</w:t>
      </w:r>
    </w:p>
    <w:p w14:paraId="059EEF34" w14:textId="77777777" w:rsidR="008D018E" w:rsidRPr="008D018E" w:rsidRDefault="008D018E" w:rsidP="008D018E">
      <w:pPr>
        <w:pStyle w:val="BodyText"/>
        <w:spacing w:before="115"/>
        <w:ind w:left="-220" w:right="217"/>
      </w:pPr>
      <w:r w:rsidRPr="008D018E">
        <w:t xml:space="preserve">(4) A death has occurred in the family. </w:t>
      </w:r>
    </w:p>
    <w:p w14:paraId="3D4B60A7" w14:textId="77777777" w:rsidR="008D018E" w:rsidRPr="008D018E" w:rsidRDefault="008D018E" w:rsidP="008D018E">
      <w:pPr>
        <w:pStyle w:val="BodyText"/>
        <w:spacing w:before="115"/>
        <w:ind w:left="720" w:right="217"/>
        <w:rPr>
          <w:u w:val="single"/>
        </w:rPr>
      </w:pPr>
      <w:r w:rsidRPr="008D018E">
        <w:rPr>
          <w:u w:val="single"/>
        </w:rPr>
        <w:t xml:space="preserve">PHA Policy </w:t>
      </w:r>
    </w:p>
    <w:p w14:paraId="0FC7BA71" w14:textId="77777777" w:rsidR="008D018E" w:rsidRPr="008D018E" w:rsidRDefault="008D018E" w:rsidP="008D018E">
      <w:pPr>
        <w:pStyle w:val="BodyText"/>
        <w:spacing w:before="115"/>
        <w:ind w:left="720" w:right="217"/>
      </w:pPr>
      <w:proofErr w:type="gramStart"/>
      <w:r w:rsidRPr="008D018E">
        <w:t>In order to</w:t>
      </w:r>
      <w:proofErr w:type="gramEnd"/>
      <w:r w:rsidRPr="008D018E">
        <w:t xml:space="preserve"> qualify under this provision, a family must describe how the death has created a financial hardship (e.g., because of funeral-related expenses or the loss of the family member’s income). </w:t>
      </w:r>
    </w:p>
    <w:p w14:paraId="7C48375F" w14:textId="77777777" w:rsidR="008D018E" w:rsidRPr="008D018E" w:rsidRDefault="008D018E" w:rsidP="008D018E">
      <w:pPr>
        <w:pStyle w:val="BodyText"/>
        <w:spacing w:before="115"/>
        <w:ind w:left="-220" w:right="217"/>
      </w:pPr>
      <w:r w:rsidRPr="008D018E">
        <w:t xml:space="preserve">(5) The family has experienced other circumstances determined by the PHA. </w:t>
      </w:r>
    </w:p>
    <w:p w14:paraId="79812BCC" w14:textId="77777777" w:rsidR="008D018E" w:rsidRPr="008D018E" w:rsidRDefault="008D018E" w:rsidP="008D018E">
      <w:pPr>
        <w:pStyle w:val="BodyText"/>
        <w:spacing w:before="115"/>
        <w:ind w:left="720" w:right="217"/>
        <w:rPr>
          <w:u w:val="single"/>
        </w:rPr>
      </w:pPr>
      <w:r w:rsidRPr="008D018E">
        <w:rPr>
          <w:u w:val="single"/>
        </w:rPr>
        <w:t xml:space="preserve">PHA Policy </w:t>
      </w:r>
    </w:p>
    <w:p w14:paraId="70F66FC5" w14:textId="6B7A2DB6" w:rsidR="008D018E" w:rsidRDefault="008D018E" w:rsidP="008D018E">
      <w:pPr>
        <w:pStyle w:val="BodyText"/>
        <w:spacing w:before="115"/>
        <w:ind w:left="720" w:right="217"/>
      </w:pPr>
      <w:r w:rsidRPr="008D018E">
        <w:t>The PHA has not established any additional hardship criteria.</w:t>
      </w:r>
    </w:p>
    <w:p w14:paraId="27566D2C" w14:textId="77777777" w:rsidR="008D018E" w:rsidRDefault="008D018E" w:rsidP="008D018E">
      <w:pPr>
        <w:pStyle w:val="BodyText"/>
        <w:spacing w:before="115"/>
        <w:ind w:left="720" w:right="217"/>
      </w:pPr>
    </w:p>
    <w:p w14:paraId="19161F65" w14:textId="6C78F979" w:rsidR="008D018E" w:rsidRPr="008D018E" w:rsidRDefault="008D018E" w:rsidP="008D018E">
      <w:pPr>
        <w:pStyle w:val="BodyText"/>
        <w:spacing w:before="115"/>
        <w:ind w:left="0" w:right="217"/>
      </w:pPr>
      <w:r w:rsidRPr="008D018E">
        <w:rPr>
          <w:b/>
          <w:bCs/>
        </w:rPr>
        <w:t xml:space="preserve">Implementation of Hardship Exemption </w:t>
      </w:r>
    </w:p>
    <w:p w14:paraId="00BF302D" w14:textId="77777777" w:rsidR="008D018E" w:rsidRPr="008D018E" w:rsidRDefault="008D018E" w:rsidP="008D018E">
      <w:pPr>
        <w:pStyle w:val="BodyText"/>
        <w:spacing w:before="115"/>
        <w:ind w:left="0" w:right="217"/>
      </w:pPr>
      <w:r w:rsidRPr="008D018E">
        <w:rPr>
          <w:b/>
          <w:bCs/>
          <w:i/>
          <w:iCs/>
        </w:rPr>
        <w:t xml:space="preserve">Determination of Hardship </w:t>
      </w:r>
    </w:p>
    <w:p w14:paraId="41A7D097" w14:textId="77777777" w:rsidR="008D018E" w:rsidRPr="008D018E" w:rsidRDefault="008D018E" w:rsidP="008D018E">
      <w:pPr>
        <w:pStyle w:val="BodyText"/>
        <w:spacing w:before="115"/>
        <w:ind w:left="0" w:right="217"/>
      </w:pPr>
      <w:r w:rsidRPr="008D018E">
        <w:t xml:space="preserve">When a family requests </w:t>
      </w:r>
      <w:proofErr w:type="gramStart"/>
      <w:r w:rsidRPr="008D018E">
        <w:t>a financial</w:t>
      </w:r>
      <w:proofErr w:type="gramEnd"/>
      <w:r w:rsidRPr="008D018E">
        <w:t xml:space="preserve"> hardship exemption, the PHA must suspend the minimum rent requirement beginning the first of the month following the family’s request. </w:t>
      </w:r>
    </w:p>
    <w:p w14:paraId="5DFA0B12" w14:textId="77777777" w:rsidR="008D018E" w:rsidRDefault="008D018E" w:rsidP="008D018E">
      <w:pPr>
        <w:pStyle w:val="BodyText"/>
        <w:spacing w:before="115"/>
        <w:ind w:left="0" w:right="217"/>
      </w:pPr>
      <w:r w:rsidRPr="008D018E">
        <w:t xml:space="preserve">The PHA then determines whether the financial hardship exists and whether the hardship is temporary (expected to last 90 days or less) or long-term. </w:t>
      </w:r>
    </w:p>
    <w:p w14:paraId="4192F160" w14:textId="29104C98" w:rsidR="008D018E" w:rsidRDefault="008D018E" w:rsidP="008D018E">
      <w:pPr>
        <w:pStyle w:val="BodyText"/>
        <w:spacing w:before="115"/>
        <w:ind w:left="0" w:right="217"/>
      </w:pPr>
      <w:r w:rsidRPr="008D018E">
        <w:t>When the minimum rent is suspended, the family share reverts to the highest of the remaining components of the calculated TTP. The example below demonstrates the effect of the minimum rent exemption.</w:t>
      </w:r>
    </w:p>
    <w:p w14:paraId="125228C8" w14:textId="77777777" w:rsidR="008D018E" w:rsidRPr="008D018E" w:rsidRDefault="008D018E" w:rsidP="008D018E">
      <w:pPr>
        <w:tabs>
          <w:tab w:val="clear" w:pos="360"/>
          <w:tab w:val="clear" w:pos="1080"/>
          <w:tab w:val="clear" w:pos="1440"/>
        </w:tabs>
        <w:kinsoku w:val="0"/>
        <w:overflowPunct w:val="0"/>
        <w:autoSpaceDE w:val="0"/>
        <w:autoSpaceDN w:val="0"/>
        <w:adjustRightInd w:val="0"/>
        <w:spacing w:before="8" w:after="1"/>
        <w:rPr>
          <w:rFonts w:eastAsiaTheme="minorHAnsi"/>
          <w:sz w:val="11"/>
          <w:szCs w:val="11"/>
          <w14:ligatures w14:val="standardContextual"/>
        </w:rPr>
      </w:pPr>
    </w:p>
    <w:tbl>
      <w:tblPr>
        <w:tblW w:w="0" w:type="auto"/>
        <w:tblInd w:w="248" w:type="dxa"/>
        <w:tblLayout w:type="fixed"/>
        <w:tblCellMar>
          <w:left w:w="0" w:type="dxa"/>
          <w:right w:w="0" w:type="dxa"/>
        </w:tblCellMar>
        <w:tblLook w:val="0000" w:firstRow="0" w:lastRow="0" w:firstColumn="0" w:lastColumn="0" w:noHBand="0" w:noVBand="0"/>
      </w:tblPr>
      <w:tblGrid>
        <w:gridCol w:w="918"/>
        <w:gridCol w:w="3510"/>
        <w:gridCol w:w="900"/>
        <w:gridCol w:w="3528"/>
      </w:tblGrid>
      <w:tr w:rsidR="008D018E" w:rsidRPr="008D018E" w14:paraId="3BA4ACF9" w14:textId="77777777">
        <w:trPr>
          <w:trHeight w:val="792"/>
        </w:trPr>
        <w:tc>
          <w:tcPr>
            <w:tcW w:w="8856" w:type="dxa"/>
            <w:gridSpan w:val="4"/>
            <w:tcBorders>
              <w:top w:val="single" w:sz="4" w:space="0" w:color="000000"/>
              <w:left w:val="single" w:sz="4" w:space="0" w:color="000000"/>
              <w:bottom w:val="single" w:sz="4" w:space="0" w:color="000000"/>
              <w:right w:val="single" w:sz="4" w:space="0" w:color="000000"/>
            </w:tcBorders>
          </w:tcPr>
          <w:p w14:paraId="74F33A20" w14:textId="77777777" w:rsidR="008D018E" w:rsidRPr="008D018E" w:rsidRDefault="008D018E" w:rsidP="008D018E">
            <w:pPr>
              <w:tabs>
                <w:tab w:val="clear" w:pos="360"/>
                <w:tab w:val="clear" w:pos="1080"/>
                <w:tab w:val="clear" w:pos="1440"/>
              </w:tabs>
              <w:kinsoku w:val="0"/>
              <w:overflowPunct w:val="0"/>
              <w:autoSpaceDE w:val="0"/>
              <w:autoSpaceDN w:val="0"/>
              <w:adjustRightInd w:val="0"/>
              <w:spacing w:before="116"/>
              <w:ind w:left="10" w:right="6"/>
              <w:jc w:val="center"/>
              <w:rPr>
                <w:rFonts w:eastAsiaTheme="minorHAnsi"/>
                <w:b/>
                <w:bCs/>
                <w14:ligatures w14:val="standardContextual"/>
              </w:rPr>
            </w:pPr>
            <w:r w:rsidRPr="008D018E">
              <w:rPr>
                <w:rFonts w:eastAsiaTheme="minorHAnsi"/>
                <w:b/>
                <w:bCs/>
                <w14:ligatures w14:val="standardContextual"/>
              </w:rPr>
              <w:t>Example: Impact of Minimum Rent Exemption</w:t>
            </w:r>
          </w:p>
          <w:p w14:paraId="3209C3AE" w14:textId="77777777" w:rsidR="008D018E" w:rsidRPr="008D018E" w:rsidRDefault="008D018E" w:rsidP="008D018E">
            <w:pPr>
              <w:tabs>
                <w:tab w:val="clear" w:pos="360"/>
                <w:tab w:val="clear" w:pos="1080"/>
                <w:tab w:val="clear" w:pos="1440"/>
              </w:tabs>
              <w:kinsoku w:val="0"/>
              <w:overflowPunct w:val="0"/>
              <w:autoSpaceDE w:val="0"/>
              <w:autoSpaceDN w:val="0"/>
              <w:adjustRightInd w:val="0"/>
              <w:spacing w:before="116" w:line="264" w:lineRule="exact"/>
              <w:ind w:left="10"/>
              <w:jc w:val="center"/>
              <w:rPr>
                <w:rFonts w:eastAsiaTheme="minorHAnsi"/>
                <w14:ligatures w14:val="standardContextual"/>
              </w:rPr>
            </w:pPr>
            <w:r w:rsidRPr="008D018E">
              <w:rPr>
                <w:rFonts w:eastAsiaTheme="minorHAnsi"/>
                <w14:ligatures w14:val="standardContextual"/>
              </w:rPr>
              <w:t>Assume the PHA has established a minimum rent of $35.</w:t>
            </w:r>
          </w:p>
        </w:tc>
      </w:tr>
      <w:tr w:rsidR="008D018E" w:rsidRPr="008D018E" w14:paraId="7475B966" w14:textId="77777777">
        <w:trPr>
          <w:trHeight w:val="395"/>
        </w:trPr>
        <w:tc>
          <w:tcPr>
            <w:tcW w:w="4428" w:type="dxa"/>
            <w:gridSpan w:val="2"/>
            <w:tcBorders>
              <w:top w:val="single" w:sz="4" w:space="0" w:color="000000"/>
              <w:left w:val="single" w:sz="4" w:space="0" w:color="000000"/>
              <w:bottom w:val="single" w:sz="4" w:space="0" w:color="000000"/>
              <w:right w:val="single" w:sz="4" w:space="0" w:color="000000"/>
            </w:tcBorders>
          </w:tcPr>
          <w:p w14:paraId="378CA03A" w14:textId="77777777" w:rsidR="008D018E" w:rsidRPr="008D018E" w:rsidRDefault="008D018E" w:rsidP="008D018E">
            <w:pPr>
              <w:tabs>
                <w:tab w:val="clear" w:pos="360"/>
                <w:tab w:val="clear" w:pos="1080"/>
                <w:tab w:val="clear" w:pos="1440"/>
              </w:tabs>
              <w:kinsoku w:val="0"/>
              <w:overflowPunct w:val="0"/>
              <w:autoSpaceDE w:val="0"/>
              <w:autoSpaceDN w:val="0"/>
              <w:adjustRightInd w:val="0"/>
              <w:spacing w:before="116" w:line="259" w:lineRule="exact"/>
              <w:ind w:left="738"/>
              <w:rPr>
                <w:rFonts w:eastAsiaTheme="minorHAnsi"/>
                <w:b/>
                <w:bCs/>
                <w14:ligatures w14:val="standardContextual"/>
              </w:rPr>
            </w:pPr>
            <w:r w:rsidRPr="008D018E">
              <w:rPr>
                <w:rFonts w:eastAsiaTheme="minorHAnsi"/>
                <w:b/>
                <w:bCs/>
                <w14:ligatures w14:val="standardContextual"/>
              </w:rPr>
              <w:t>Family Share – No Hardship</w:t>
            </w:r>
          </w:p>
        </w:tc>
        <w:tc>
          <w:tcPr>
            <w:tcW w:w="4428" w:type="dxa"/>
            <w:gridSpan w:val="2"/>
            <w:tcBorders>
              <w:top w:val="single" w:sz="4" w:space="0" w:color="000000"/>
              <w:left w:val="single" w:sz="4" w:space="0" w:color="000000"/>
              <w:bottom w:val="single" w:sz="4" w:space="0" w:color="000000"/>
              <w:right w:val="single" w:sz="4" w:space="0" w:color="000000"/>
            </w:tcBorders>
          </w:tcPr>
          <w:p w14:paraId="28EBADC2" w14:textId="77777777" w:rsidR="008D018E" w:rsidRPr="008D018E" w:rsidRDefault="008D018E" w:rsidP="008D018E">
            <w:pPr>
              <w:tabs>
                <w:tab w:val="clear" w:pos="360"/>
                <w:tab w:val="clear" w:pos="1080"/>
                <w:tab w:val="clear" w:pos="1440"/>
              </w:tabs>
              <w:kinsoku w:val="0"/>
              <w:overflowPunct w:val="0"/>
              <w:autoSpaceDE w:val="0"/>
              <w:autoSpaceDN w:val="0"/>
              <w:adjustRightInd w:val="0"/>
              <w:spacing w:before="116" w:line="259" w:lineRule="exact"/>
              <w:ind w:left="626"/>
              <w:rPr>
                <w:rFonts w:eastAsiaTheme="minorHAnsi"/>
                <w:b/>
                <w:bCs/>
                <w14:ligatures w14:val="standardContextual"/>
              </w:rPr>
            </w:pPr>
            <w:r w:rsidRPr="008D018E">
              <w:rPr>
                <w:rFonts w:eastAsiaTheme="minorHAnsi"/>
                <w:b/>
                <w:bCs/>
                <w14:ligatures w14:val="standardContextual"/>
              </w:rPr>
              <w:t>Family Share – With Hardship</w:t>
            </w:r>
          </w:p>
        </w:tc>
      </w:tr>
      <w:tr w:rsidR="008D018E" w:rsidRPr="008D018E" w14:paraId="5167A17F" w14:textId="77777777">
        <w:trPr>
          <w:trHeight w:val="1583"/>
        </w:trPr>
        <w:tc>
          <w:tcPr>
            <w:tcW w:w="918" w:type="dxa"/>
            <w:tcBorders>
              <w:top w:val="single" w:sz="4" w:space="0" w:color="000000"/>
              <w:left w:val="single" w:sz="4" w:space="0" w:color="000000"/>
              <w:bottom w:val="single" w:sz="4" w:space="0" w:color="000000"/>
              <w:right w:val="none" w:sz="6" w:space="0" w:color="auto"/>
            </w:tcBorders>
          </w:tcPr>
          <w:p w14:paraId="63567AA9" w14:textId="77777777" w:rsidR="008D018E" w:rsidRPr="008D018E" w:rsidRDefault="008D018E" w:rsidP="008D018E">
            <w:pPr>
              <w:tabs>
                <w:tab w:val="clear" w:pos="360"/>
                <w:tab w:val="clear" w:pos="1080"/>
                <w:tab w:val="clear" w:pos="1440"/>
              </w:tabs>
              <w:kinsoku w:val="0"/>
              <w:overflowPunct w:val="0"/>
              <w:autoSpaceDE w:val="0"/>
              <w:autoSpaceDN w:val="0"/>
              <w:adjustRightInd w:val="0"/>
              <w:spacing w:before="111"/>
              <w:ind w:left="570"/>
              <w:rPr>
                <w:rFonts w:eastAsiaTheme="minorHAnsi"/>
                <w:spacing w:val="-6"/>
                <w14:ligatures w14:val="standardContextual"/>
              </w:rPr>
            </w:pPr>
            <w:r w:rsidRPr="008D018E">
              <w:rPr>
                <w:rFonts w:eastAsiaTheme="minorHAnsi"/>
                <w:spacing w:val="-6"/>
                <w14:ligatures w14:val="standardContextual"/>
              </w:rPr>
              <w:t>$0</w:t>
            </w:r>
          </w:p>
          <w:p w14:paraId="07AC81EF" w14:textId="77777777" w:rsidR="008D018E" w:rsidRPr="008D018E" w:rsidRDefault="008D018E" w:rsidP="008D018E">
            <w:pPr>
              <w:tabs>
                <w:tab w:val="clear" w:pos="360"/>
                <w:tab w:val="clear" w:pos="1080"/>
                <w:tab w:val="clear" w:pos="1440"/>
              </w:tabs>
              <w:kinsoku w:val="0"/>
              <w:overflowPunct w:val="0"/>
              <w:autoSpaceDE w:val="0"/>
              <w:autoSpaceDN w:val="0"/>
              <w:adjustRightInd w:val="0"/>
              <w:ind w:left="450"/>
              <w:rPr>
                <w:rFonts w:eastAsiaTheme="minorHAnsi"/>
                <w:spacing w:val="-4"/>
                <w14:ligatures w14:val="standardContextual"/>
              </w:rPr>
            </w:pPr>
            <w:r w:rsidRPr="008D018E">
              <w:rPr>
                <w:rFonts w:eastAsiaTheme="minorHAnsi"/>
                <w:spacing w:val="-4"/>
                <w14:ligatures w14:val="standardContextual"/>
              </w:rPr>
              <w:t>$15</w:t>
            </w:r>
          </w:p>
          <w:p w14:paraId="00016DD1" w14:textId="77777777" w:rsidR="008D018E" w:rsidRPr="008D018E" w:rsidRDefault="008D018E" w:rsidP="008D018E">
            <w:pPr>
              <w:tabs>
                <w:tab w:val="clear" w:pos="360"/>
                <w:tab w:val="clear" w:pos="1080"/>
                <w:tab w:val="clear" w:pos="1440"/>
              </w:tabs>
              <w:kinsoku w:val="0"/>
              <w:overflowPunct w:val="0"/>
              <w:autoSpaceDE w:val="0"/>
              <w:autoSpaceDN w:val="0"/>
              <w:adjustRightInd w:val="0"/>
              <w:ind w:left="398"/>
              <w:rPr>
                <w:rFonts w:eastAsiaTheme="minorHAnsi"/>
                <w:spacing w:val="-4"/>
                <w14:ligatures w14:val="standardContextual"/>
              </w:rPr>
            </w:pPr>
            <w:r w:rsidRPr="008D018E">
              <w:rPr>
                <w:rFonts w:eastAsiaTheme="minorHAnsi"/>
                <w:spacing w:val="-4"/>
                <w14:ligatures w14:val="standardContextual"/>
              </w:rPr>
              <w:t>N/A</w:t>
            </w:r>
          </w:p>
          <w:p w14:paraId="51DEA30C" w14:textId="77777777" w:rsidR="008D018E" w:rsidRPr="008D018E" w:rsidRDefault="008D018E" w:rsidP="008D018E">
            <w:pPr>
              <w:tabs>
                <w:tab w:val="clear" w:pos="360"/>
                <w:tab w:val="clear" w:pos="1080"/>
                <w:tab w:val="clear" w:pos="1440"/>
              </w:tabs>
              <w:kinsoku w:val="0"/>
              <w:overflowPunct w:val="0"/>
              <w:autoSpaceDE w:val="0"/>
              <w:autoSpaceDN w:val="0"/>
              <w:adjustRightInd w:val="0"/>
              <w:spacing w:before="121" w:line="264" w:lineRule="exact"/>
              <w:ind w:left="450"/>
              <w:rPr>
                <w:rFonts w:eastAsiaTheme="minorHAnsi"/>
                <w:spacing w:val="-4"/>
                <w14:ligatures w14:val="standardContextual"/>
              </w:rPr>
            </w:pPr>
            <w:r w:rsidRPr="008D018E">
              <w:rPr>
                <w:rFonts w:eastAsiaTheme="minorHAnsi"/>
                <w:spacing w:val="-4"/>
                <w14:ligatures w14:val="standardContextual"/>
              </w:rPr>
              <w:t>$35</w:t>
            </w:r>
          </w:p>
        </w:tc>
        <w:tc>
          <w:tcPr>
            <w:tcW w:w="3510" w:type="dxa"/>
            <w:tcBorders>
              <w:top w:val="single" w:sz="4" w:space="0" w:color="000000"/>
              <w:left w:val="none" w:sz="6" w:space="0" w:color="auto"/>
              <w:bottom w:val="single" w:sz="4" w:space="0" w:color="000000"/>
              <w:right w:val="single" w:sz="4" w:space="0" w:color="000000"/>
            </w:tcBorders>
          </w:tcPr>
          <w:p w14:paraId="6521DF12" w14:textId="77777777" w:rsidR="008D018E" w:rsidRPr="008D018E" w:rsidRDefault="008D018E" w:rsidP="008D018E">
            <w:pPr>
              <w:tabs>
                <w:tab w:val="clear" w:pos="360"/>
                <w:tab w:val="clear" w:pos="1080"/>
                <w:tab w:val="clear" w:pos="1440"/>
              </w:tabs>
              <w:kinsoku w:val="0"/>
              <w:overflowPunct w:val="0"/>
              <w:autoSpaceDE w:val="0"/>
              <w:autoSpaceDN w:val="0"/>
              <w:adjustRightInd w:val="0"/>
              <w:spacing w:before="111" w:line="343" w:lineRule="auto"/>
              <w:ind w:left="111"/>
              <w:rPr>
                <w:rFonts w:eastAsiaTheme="minorHAnsi"/>
                <w14:ligatures w14:val="standardContextual"/>
              </w:rPr>
            </w:pPr>
            <w:r w:rsidRPr="008D018E">
              <w:rPr>
                <w:rFonts w:eastAsiaTheme="minorHAnsi"/>
                <w14:ligatures w14:val="standardContextual"/>
              </w:rPr>
              <w:t>30%</w:t>
            </w:r>
            <w:r w:rsidRPr="008D018E">
              <w:rPr>
                <w:rFonts w:eastAsiaTheme="minorHAnsi"/>
                <w:spacing w:val="-10"/>
                <w14:ligatures w14:val="standardContextual"/>
              </w:rPr>
              <w:t xml:space="preserve"> </w:t>
            </w:r>
            <w:r w:rsidRPr="008D018E">
              <w:rPr>
                <w:rFonts w:eastAsiaTheme="minorHAnsi"/>
                <w14:ligatures w14:val="standardContextual"/>
              </w:rPr>
              <w:t>of</w:t>
            </w:r>
            <w:r w:rsidRPr="008D018E">
              <w:rPr>
                <w:rFonts w:eastAsiaTheme="minorHAnsi"/>
                <w:spacing w:val="-10"/>
                <w14:ligatures w14:val="standardContextual"/>
              </w:rPr>
              <w:t xml:space="preserve"> </w:t>
            </w:r>
            <w:r w:rsidRPr="008D018E">
              <w:rPr>
                <w:rFonts w:eastAsiaTheme="minorHAnsi"/>
                <w14:ligatures w14:val="standardContextual"/>
              </w:rPr>
              <w:t>monthly</w:t>
            </w:r>
            <w:r w:rsidRPr="008D018E">
              <w:rPr>
                <w:rFonts w:eastAsiaTheme="minorHAnsi"/>
                <w:spacing w:val="-12"/>
                <w14:ligatures w14:val="standardContextual"/>
              </w:rPr>
              <w:t xml:space="preserve"> </w:t>
            </w:r>
            <w:r w:rsidRPr="008D018E">
              <w:rPr>
                <w:rFonts w:eastAsiaTheme="minorHAnsi"/>
                <w14:ligatures w14:val="standardContextual"/>
              </w:rPr>
              <w:t>adjusted</w:t>
            </w:r>
            <w:r w:rsidRPr="008D018E">
              <w:rPr>
                <w:rFonts w:eastAsiaTheme="minorHAnsi"/>
                <w:spacing w:val="-7"/>
                <w14:ligatures w14:val="standardContextual"/>
              </w:rPr>
              <w:t xml:space="preserve"> </w:t>
            </w:r>
            <w:r w:rsidRPr="008D018E">
              <w:rPr>
                <w:rFonts w:eastAsiaTheme="minorHAnsi"/>
                <w14:ligatures w14:val="standardContextual"/>
              </w:rPr>
              <w:t>income 10% of monthly gross income Welfare rent</w:t>
            </w:r>
          </w:p>
          <w:p w14:paraId="5F77A9D4" w14:textId="77777777" w:rsidR="008D018E" w:rsidRPr="008D018E" w:rsidRDefault="008D018E" w:rsidP="008D018E">
            <w:pPr>
              <w:tabs>
                <w:tab w:val="clear" w:pos="360"/>
                <w:tab w:val="clear" w:pos="1080"/>
                <w:tab w:val="clear" w:pos="1440"/>
              </w:tabs>
              <w:kinsoku w:val="0"/>
              <w:overflowPunct w:val="0"/>
              <w:autoSpaceDE w:val="0"/>
              <w:autoSpaceDN w:val="0"/>
              <w:adjustRightInd w:val="0"/>
              <w:spacing w:before="4" w:line="264" w:lineRule="exact"/>
              <w:ind w:left="111"/>
              <w:rPr>
                <w:rFonts w:eastAsiaTheme="minorHAnsi"/>
                <w14:ligatures w14:val="standardContextual"/>
              </w:rPr>
            </w:pPr>
            <w:r w:rsidRPr="008D018E">
              <w:rPr>
                <w:rFonts w:eastAsiaTheme="minorHAnsi"/>
                <w14:ligatures w14:val="standardContextual"/>
              </w:rPr>
              <w:t>Minimum rent</w:t>
            </w:r>
          </w:p>
        </w:tc>
        <w:tc>
          <w:tcPr>
            <w:tcW w:w="900" w:type="dxa"/>
            <w:tcBorders>
              <w:top w:val="single" w:sz="4" w:space="0" w:color="000000"/>
              <w:left w:val="single" w:sz="4" w:space="0" w:color="000000"/>
              <w:bottom w:val="single" w:sz="4" w:space="0" w:color="000000"/>
              <w:right w:val="none" w:sz="6" w:space="0" w:color="auto"/>
            </w:tcBorders>
          </w:tcPr>
          <w:p w14:paraId="0CBB0043" w14:textId="77777777" w:rsidR="008D018E" w:rsidRPr="008D018E" w:rsidRDefault="008D018E" w:rsidP="008D018E">
            <w:pPr>
              <w:tabs>
                <w:tab w:val="clear" w:pos="360"/>
                <w:tab w:val="clear" w:pos="1080"/>
                <w:tab w:val="clear" w:pos="1440"/>
              </w:tabs>
              <w:kinsoku w:val="0"/>
              <w:overflowPunct w:val="0"/>
              <w:autoSpaceDE w:val="0"/>
              <w:autoSpaceDN w:val="0"/>
              <w:adjustRightInd w:val="0"/>
              <w:spacing w:before="111"/>
              <w:ind w:left="552"/>
              <w:rPr>
                <w:rFonts w:eastAsiaTheme="minorHAnsi"/>
                <w:spacing w:val="-6"/>
                <w14:ligatures w14:val="standardContextual"/>
              </w:rPr>
            </w:pPr>
            <w:r w:rsidRPr="008D018E">
              <w:rPr>
                <w:rFonts w:eastAsiaTheme="minorHAnsi"/>
                <w:spacing w:val="-6"/>
                <w14:ligatures w14:val="standardContextual"/>
              </w:rPr>
              <w:t>$0</w:t>
            </w:r>
          </w:p>
          <w:p w14:paraId="7D05C06F" w14:textId="77777777" w:rsidR="008D018E" w:rsidRPr="008D018E" w:rsidRDefault="008D018E" w:rsidP="008D018E">
            <w:pPr>
              <w:tabs>
                <w:tab w:val="clear" w:pos="360"/>
                <w:tab w:val="clear" w:pos="1080"/>
                <w:tab w:val="clear" w:pos="1440"/>
              </w:tabs>
              <w:kinsoku w:val="0"/>
              <w:overflowPunct w:val="0"/>
              <w:autoSpaceDE w:val="0"/>
              <w:autoSpaceDN w:val="0"/>
              <w:adjustRightInd w:val="0"/>
              <w:ind w:left="432"/>
              <w:rPr>
                <w:rFonts w:eastAsiaTheme="minorHAnsi"/>
                <w:spacing w:val="-4"/>
                <w14:ligatures w14:val="standardContextual"/>
              </w:rPr>
            </w:pPr>
            <w:r w:rsidRPr="008D018E">
              <w:rPr>
                <w:rFonts w:eastAsiaTheme="minorHAnsi"/>
                <w:spacing w:val="-4"/>
                <w14:ligatures w14:val="standardContextual"/>
              </w:rPr>
              <w:t>$15</w:t>
            </w:r>
          </w:p>
          <w:p w14:paraId="60B46812" w14:textId="77777777" w:rsidR="008D018E" w:rsidRPr="008D018E" w:rsidRDefault="008D018E" w:rsidP="008D018E">
            <w:pPr>
              <w:tabs>
                <w:tab w:val="clear" w:pos="360"/>
                <w:tab w:val="clear" w:pos="1080"/>
                <w:tab w:val="clear" w:pos="1440"/>
              </w:tabs>
              <w:kinsoku w:val="0"/>
              <w:overflowPunct w:val="0"/>
              <w:autoSpaceDE w:val="0"/>
              <w:autoSpaceDN w:val="0"/>
              <w:adjustRightInd w:val="0"/>
              <w:ind w:left="379"/>
              <w:rPr>
                <w:rFonts w:eastAsiaTheme="minorHAnsi"/>
                <w:spacing w:val="-4"/>
                <w14:ligatures w14:val="standardContextual"/>
              </w:rPr>
            </w:pPr>
            <w:r w:rsidRPr="008D018E">
              <w:rPr>
                <w:rFonts w:eastAsiaTheme="minorHAnsi"/>
                <w:spacing w:val="-4"/>
                <w14:ligatures w14:val="standardContextual"/>
              </w:rPr>
              <w:t>N/A</w:t>
            </w:r>
          </w:p>
          <w:p w14:paraId="04095D39" w14:textId="77777777" w:rsidR="008D018E" w:rsidRPr="008D018E" w:rsidRDefault="008D018E" w:rsidP="008D018E">
            <w:pPr>
              <w:tabs>
                <w:tab w:val="clear" w:pos="360"/>
                <w:tab w:val="clear" w:pos="1080"/>
                <w:tab w:val="clear" w:pos="1440"/>
              </w:tabs>
              <w:kinsoku w:val="0"/>
              <w:overflowPunct w:val="0"/>
              <w:autoSpaceDE w:val="0"/>
              <w:autoSpaceDN w:val="0"/>
              <w:adjustRightInd w:val="0"/>
              <w:spacing w:before="121" w:line="264" w:lineRule="exact"/>
              <w:ind w:left="432"/>
              <w:rPr>
                <w:rFonts w:eastAsiaTheme="minorHAnsi"/>
                <w:spacing w:val="-4"/>
                <w14:ligatures w14:val="standardContextual"/>
              </w:rPr>
            </w:pPr>
            <w:r w:rsidRPr="008D018E">
              <w:rPr>
                <w:rFonts w:eastAsiaTheme="minorHAnsi"/>
                <w:spacing w:val="-4"/>
                <w14:ligatures w14:val="standardContextual"/>
              </w:rPr>
              <w:t>$35</w:t>
            </w:r>
          </w:p>
        </w:tc>
        <w:tc>
          <w:tcPr>
            <w:tcW w:w="3528" w:type="dxa"/>
            <w:tcBorders>
              <w:top w:val="single" w:sz="4" w:space="0" w:color="000000"/>
              <w:left w:val="none" w:sz="6" w:space="0" w:color="auto"/>
              <w:bottom w:val="single" w:sz="4" w:space="0" w:color="000000"/>
              <w:right w:val="single" w:sz="4" w:space="0" w:color="000000"/>
            </w:tcBorders>
          </w:tcPr>
          <w:p w14:paraId="764A0FA6" w14:textId="77777777" w:rsidR="008D018E" w:rsidRPr="008D018E" w:rsidRDefault="008D018E" w:rsidP="008D018E">
            <w:pPr>
              <w:tabs>
                <w:tab w:val="clear" w:pos="360"/>
                <w:tab w:val="clear" w:pos="1080"/>
                <w:tab w:val="clear" w:pos="1440"/>
              </w:tabs>
              <w:kinsoku w:val="0"/>
              <w:overflowPunct w:val="0"/>
              <w:autoSpaceDE w:val="0"/>
              <w:autoSpaceDN w:val="0"/>
              <w:adjustRightInd w:val="0"/>
              <w:spacing w:before="111" w:line="343" w:lineRule="auto"/>
              <w:ind w:left="113"/>
              <w:rPr>
                <w:rFonts w:eastAsiaTheme="minorHAnsi"/>
                <w14:ligatures w14:val="standardContextual"/>
              </w:rPr>
            </w:pPr>
            <w:r w:rsidRPr="008D018E">
              <w:rPr>
                <w:rFonts w:eastAsiaTheme="minorHAnsi"/>
                <w14:ligatures w14:val="standardContextual"/>
              </w:rPr>
              <w:t>30%</w:t>
            </w:r>
            <w:r w:rsidRPr="008D018E">
              <w:rPr>
                <w:rFonts w:eastAsiaTheme="minorHAnsi"/>
                <w:spacing w:val="-10"/>
                <w14:ligatures w14:val="standardContextual"/>
              </w:rPr>
              <w:t xml:space="preserve"> </w:t>
            </w:r>
            <w:r w:rsidRPr="008D018E">
              <w:rPr>
                <w:rFonts w:eastAsiaTheme="minorHAnsi"/>
                <w14:ligatures w14:val="standardContextual"/>
              </w:rPr>
              <w:t>of</w:t>
            </w:r>
            <w:r w:rsidRPr="008D018E">
              <w:rPr>
                <w:rFonts w:eastAsiaTheme="minorHAnsi"/>
                <w:spacing w:val="-10"/>
                <w14:ligatures w14:val="standardContextual"/>
              </w:rPr>
              <w:t xml:space="preserve"> </w:t>
            </w:r>
            <w:r w:rsidRPr="008D018E">
              <w:rPr>
                <w:rFonts w:eastAsiaTheme="minorHAnsi"/>
                <w14:ligatures w14:val="standardContextual"/>
              </w:rPr>
              <w:t>monthly</w:t>
            </w:r>
            <w:r w:rsidRPr="008D018E">
              <w:rPr>
                <w:rFonts w:eastAsiaTheme="minorHAnsi"/>
                <w:spacing w:val="-13"/>
                <w14:ligatures w14:val="standardContextual"/>
              </w:rPr>
              <w:t xml:space="preserve"> </w:t>
            </w:r>
            <w:r w:rsidRPr="008D018E">
              <w:rPr>
                <w:rFonts w:eastAsiaTheme="minorHAnsi"/>
                <w14:ligatures w14:val="standardContextual"/>
              </w:rPr>
              <w:t>adjusted</w:t>
            </w:r>
            <w:r w:rsidRPr="008D018E">
              <w:rPr>
                <w:rFonts w:eastAsiaTheme="minorHAnsi"/>
                <w:spacing w:val="-7"/>
                <w14:ligatures w14:val="standardContextual"/>
              </w:rPr>
              <w:t xml:space="preserve"> </w:t>
            </w:r>
            <w:r w:rsidRPr="008D018E">
              <w:rPr>
                <w:rFonts w:eastAsiaTheme="minorHAnsi"/>
                <w14:ligatures w14:val="standardContextual"/>
              </w:rPr>
              <w:t>income 10% of monthly gross income Welfare rent</w:t>
            </w:r>
          </w:p>
          <w:p w14:paraId="12473923" w14:textId="77777777" w:rsidR="008D018E" w:rsidRPr="008D018E" w:rsidRDefault="008D018E" w:rsidP="008D018E">
            <w:pPr>
              <w:tabs>
                <w:tab w:val="clear" w:pos="360"/>
                <w:tab w:val="clear" w:pos="1080"/>
                <w:tab w:val="clear" w:pos="1440"/>
              </w:tabs>
              <w:kinsoku w:val="0"/>
              <w:overflowPunct w:val="0"/>
              <w:autoSpaceDE w:val="0"/>
              <w:autoSpaceDN w:val="0"/>
              <w:adjustRightInd w:val="0"/>
              <w:spacing w:before="4" w:line="264" w:lineRule="exact"/>
              <w:ind w:left="113"/>
              <w:rPr>
                <w:rFonts w:eastAsiaTheme="minorHAnsi"/>
                <w14:ligatures w14:val="standardContextual"/>
              </w:rPr>
            </w:pPr>
            <w:r w:rsidRPr="008D018E">
              <w:rPr>
                <w:rFonts w:eastAsiaTheme="minorHAnsi"/>
                <w14:ligatures w14:val="standardContextual"/>
              </w:rPr>
              <w:t>Minimum rent</w:t>
            </w:r>
          </w:p>
        </w:tc>
      </w:tr>
      <w:tr w:rsidR="008D018E" w:rsidRPr="008D018E" w14:paraId="6F0BDC7A" w14:textId="77777777">
        <w:trPr>
          <w:trHeight w:val="794"/>
        </w:trPr>
        <w:tc>
          <w:tcPr>
            <w:tcW w:w="4428" w:type="dxa"/>
            <w:gridSpan w:val="2"/>
            <w:tcBorders>
              <w:top w:val="single" w:sz="4" w:space="0" w:color="000000"/>
              <w:left w:val="single" w:sz="4" w:space="0" w:color="000000"/>
              <w:bottom w:val="single" w:sz="4" w:space="0" w:color="000000"/>
              <w:right w:val="single" w:sz="4" w:space="0" w:color="000000"/>
            </w:tcBorders>
          </w:tcPr>
          <w:p w14:paraId="0FAB5E4E" w14:textId="77777777" w:rsidR="008D018E" w:rsidRPr="008D018E" w:rsidRDefault="008D018E" w:rsidP="008D018E">
            <w:pPr>
              <w:tabs>
                <w:tab w:val="clear" w:pos="360"/>
                <w:tab w:val="clear" w:pos="1080"/>
                <w:tab w:val="clear" w:pos="1440"/>
              </w:tabs>
              <w:kinsoku w:val="0"/>
              <w:overflowPunct w:val="0"/>
              <w:autoSpaceDE w:val="0"/>
              <w:autoSpaceDN w:val="0"/>
              <w:adjustRightInd w:val="0"/>
              <w:spacing w:before="114"/>
              <w:ind w:left="7" w:right="1"/>
              <w:jc w:val="center"/>
              <w:rPr>
                <w:rFonts w:eastAsiaTheme="minorHAnsi"/>
                <w14:ligatures w14:val="standardContextual"/>
              </w:rPr>
            </w:pPr>
            <w:r w:rsidRPr="008D018E">
              <w:rPr>
                <w:rFonts w:eastAsiaTheme="minorHAnsi"/>
                <w14:ligatures w14:val="standardContextual"/>
              </w:rPr>
              <w:t>Minimum rent applies.</w:t>
            </w:r>
          </w:p>
          <w:p w14:paraId="3C4D8FA8" w14:textId="77777777" w:rsidR="008D018E" w:rsidRPr="008D018E" w:rsidRDefault="008D018E" w:rsidP="008D018E">
            <w:pPr>
              <w:tabs>
                <w:tab w:val="clear" w:pos="360"/>
                <w:tab w:val="clear" w:pos="1080"/>
                <w:tab w:val="clear" w:pos="1440"/>
              </w:tabs>
              <w:kinsoku w:val="0"/>
              <w:overflowPunct w:val="0"/>
              <w:autoSpaceDE w:val="0"/>
              <w:autoSpaceDN w:val="0"/>
              <w:adjustRightInd w:val="0"/>
              <w:spacing w:line="264" w:lineRule="exact"/>
              <w:ind w:left="7"/>
              <w:jc w:val="center"/>
              <w:rPr>
                <w:rFonts w:eastAsiaTheme="minorHAnsi"/>
                <w14:ligatures w14:val="standardContextual"/>
              </w:rPr>
            </w:pPr>
            <w:r w:rsidRPr="008D018E">
              <w:rPr>
                <w:rFonts w:eastAsiaTheme="minorHAnsi"/>
                <w14:ligatures w14:val="standardContextual"/>
              </w:rPr>
              <w:t>TTP = $35</w:t>
            </w:r>
          </w:p>
        </w:tc>
        <w:tc>
          <w:tcPr>
            <w:tcW w:w="4428" w:type="dxa"/>
            <w:gridSpan w:val="2"/>
            <w:tcBorders>
              <w:top w:val="single" w:sz="4" w:space="0" w:color="000000"/>
              <w:left w:val="single" w:sz="4" w:space="0" w:color="000000"/>
              <w:bottom w:val="single" w:sz="4" w:space="0" w:color="000000"/>
              <w:right w:val="single" w:sz="4" w:space="0" w:color="000000"/>
            </w:tcBorders>
          </w:tcPr>
          <w:p w14:paraId="068CF827" w14:textId="77777777" w:rsidR="008D018E" w:rsidRPr="008D018E" w:rsidRDefault="008D018E" w:rsidP="008D018E">
            <w:pPr>
              <w:tabs>
                <w:tab w:val="clear" w:pos="360"/>
                <w:tab w:val="clear" w:pos="1080"/>
                <w:tab w:val="clear" w:pos="1440"/>
              </w:tabs>
              <w:kinsoku w:val="0"/>
              <w:overflowPunct w:val="0"/>
              <w:autoSpaceDE w:val="0"/>
              <w:autoSpaceDN w:val="0"/>
              <w:adjustRightInd w:val="0"/>
              <w:spacing w:before="114"/>
              <w:ind w:left="10"/>
              <w:jc w:val="center"/>
              <w:rPr>
                <w:rFonts w:eastAsiaTheme="minorHAnsi"/>
                <w14:ligatures w14:val="standardContextual"/>
              </w:rPr>
            </w:pPr>
            <w:r w:rsidRPr="008D018E">
              <w:rPr>
                <w:rFonts w:eastAsiaTheme="minorHAnsi"/>
                <w14:ligatures w14:val="standardContextual"/>
              </w:rPr>
              <w:t>Hardship exemption granted.</w:t>
            </w:r>
          </w:p>
          <w:p w14:paraId="691894A8" w14:textId="77777777" w:rsidR="008D018E" w:rsidRPr="008D018E" w:rsidRDefault="008D018E" w:rsidP="008D018E">
            <w:pPr>
              <w:tabs>
                <w:tab w:val="clear" w:pos="360"/>
                <w:tab w:val="clear" w:pos="1080"/>
                <w:tab w:val="clear" w:pos="1440"/>
              </w:tabs>
              <w:kinsoku w:val="0"/>
              <w:overflowPunct w:val="0"/>
              <w:autoSpaceDE w:val="0"/>
              <w:autoSpaceDN w:val="0"/>
              <w:adjustRightInd w:val="0"/>
              <w:spacing w:line="264" w:lineRule="exact"/>
              <w:ind w:left="10" w:right="1"/>
              <w:jc w:val="center"/>
              <w:rPr>
                <w:rFonts w:eastAsiaTheme="minorHAnsi"/>
                <w14:ligatures w14:val="standardContextual"/>
              </w:rPr>
            </w:pPr>
            <w:r w:rsidRPr="008D018E">
              <w:rPr>
                <w:rFonts w:eastAsiaTheme="minorHAnsi"/>
                <w14:ligatures w14:val="standardContextual"/>
              </w:rPr>
              <w:t>TTP = $15</w:t>
            </w:r>
          </w:p>
        </w:tc>
      </w:tr>
    </w:tbl>
    <w:p w14:paraId="726F47D0" w14:textId="77777777" w:rsidR="008D018E" w:rsidRPr="008D018E" w:rsidRDefault="008D018E" w:rsidP="008D018E">
      <w:pPr>
        <w:pStyle w:val="BodyText"/>
        <w:spacing w:before="115"/>
        <w:ind w:left="720" w:right="217"/>
        <w:rPr>
          <w:u w:val="single"/>
        </w:rPr>
      </w:pPr>
      <w:r w:rsidRPr="008D018E">
        <w:rPr>
          <w:u w:val="single"/>
        </w:rPr>
        <w:t xml:space="preserve">PHA Policy </w:t>
      </w:r>
    </w:p>
    <w:p w14:paraId="3222E78E" w14:textId="77777777" w:rsidR="008D018E" w:rsidRPr="008D018E" w:rsidRDefault="008D018E" w:rsidP="008D018E">
      <w:pPr>
        <w:pStyle w:val="BodyText"/>
        <w:spacing w:before="115"/>
        <w:ind w:left="720" w:right="217"/>
      </w:pPr>
      <w:r w:rsidRPr="008D018E">
        <w:t xml:space="preserve">To qualify for a hardship exemption, a family must submit a request for a hardship exemption in writing. The request must explain the nature of the hardship and how the hardship has affected the family’s ability to pay the minimum rent. </w:t>
      </w:r>
    </w:p>
    <w:p w14:paraId="4591EB0B" w14:textId="001A0922" w:rsidR="008D018E" w:rsidRPr="008D018E" w:rsidRDefault="008D018E" w:rsidP="008D018E">
      <w:pPr>
        <w:pStyle w:val="BodyText"/>
        <w:spacing w:before="115"/>
        <w:ind w:left="720" w:right="217"/>
      </w:pPr>
      <w:r w:rsidRPr="008D018E">
        <w:t>The PHA will make the determination of hardship within 30 calendar days.</w:t>
      </w:r>
    </w:p>
    <w:p w14:paraId="63E89960" w14:textId="13C5C94A" w:rsidR="008D018E" w:rsidRDefault="00FF41B4" w:rsidP="008D018E">
      <w:pPr>
        <w:ind w:left="720"/>
        <w:rPr>
          <w:u w:val="single"/>
        </w:rPr>
      </w:pPr>
      <w:r w:rsidRPr="008D018E">
        <w:rPr>
          <w:highlight w:val="yellow"/>
        </w:rPr>
        <w:t xml:space="preserve">Elderly and disabled households will automatically be granted a </w:t>
      </w:r>
      <w:r w:rsidR="008D018E" w:rsidRPr="008D018E">
        <w:rPr>
          <w:highlight w:val="yellow"/>
        </w:rPr>
        <w:t xml:space="preserve">long-term </w:t>
      </w:r>
      <w:r w:rsidRPr="008D018E">
        <w:rPr>
          <w:highlight w:val="yellow"/>
        </w:rPr>
        <w:t>hardship exemption.</w:t>
      </w:r>
      <w:r w:rsidRPr="008D018E">
        <w:t xml:space="preserve"> </w:t>
      </w:r>
    </w:p>
    <w:p w14:paraId="49D501ED" w14:textId="77777777" w:rsidR="008D018E" w:rsidRPr="008D018E" w:rsidRDefault="008D018E" w:rsidP="008D018E">
      <w:pPr>
        <w:ind w:left="500"/>
      </w:pPr>
      <w:r w:rsidRPr="008D018E">
        <w:rPr>
          <w:b/>
          <w:bCs/>
          <w:i/>
          <w:iCs/>
        </w:rPr>
        <w:t xml:space="preserve">No Financial Hardship </w:t>
      </w:r>
    </w:p>
    <w:p w14:paraId="0BB7AB94" w14:textId="77777777" w:rsidR="008D018E" w:rsidRPr="008D018E" w:rsidRDefault="008D018E" w:rsidP="008D018E">
      <w:pPr>
        <w:ind w:left="500"/>
      </w:pPr>
      <w:r w:rsidRPr="008D018E">
        <w:t xml:space="preserve">If the PHA determines there is no financial hardship, the PHA will reinstate the minimum rent and require the family to repay the amounts suspended. </w:t>
      </w:r>
    </w:p>
    <w:p w14:paraId="203E1560" w14:textId="77777777" w:rsidR="008D018E" w:rsidRPr="008D018E" w:rsidRDefault="008D018E" w:rsidP="008D018E">
      <w:pPr>
        <w:ind w:left="720"/>
        <w:rPr>
          <w:u w:val="single"/>
        </w:rPr>
      </w:pPr>
      <w:r w:rsidRPr="008D018E">
        <w:rPr>
          <w:u w:val="single"/>
        </w:rPr>
        <w:t xml:space="preserve">PHA Policy </w:t>
      </w:r>
    </w:p>
    <w:p w14:paraId="08C6B7BB" w14:textId="77777777" w:rsidR="008D018E" w:rsidRPr="008D018E" w:rsidRDefault="008D018E" w:rsidP="008D018E">
      <w:pPr>
        <w:ind w:left="720"/>
      </w:pPr>
      <w:r w:rsidRPr="008D018E">
        <w:t xml:space="preserve">The PHA will require the family to repay the suspended amount within 30 calendar days of the PHA’s notice that a hardship exemption has not been granted. </w:t>
      </w:r>
    </w:p>
    <w:p w14:paraId="4A8328B8" w14:textId="77777777" w:rsidR="008D018E" w:rsidRPr="008D018E" w:rsidRDefault="008D018E" w:rsidP="008D018E">
      <w:pPr>
        <w:ind w:left="500"/>
      </w:pPr>
      <w:r w:rsidRPr="008D018E">
        <w:rPr>
          <w:b/>
          <w:bCs/>
          <w:i/>
          <w:iCs/>
        </w:rPr>
        <w:t xml:space="preserve">Temporary Hardship </w:t>
      </w:r>
    </w:p>
    <w:p w14:paraId="24BE05FE" w14:textId="77777777" w:rsidR="008D018E" w:rsidRPr="008D018E" w:rsidRDefault="008D018E" w:rsidP="008D018E">
      <w:pPr>
        <w:ind w:left="500"/>
      </w:pPr>
      <w:r w:rsidRPr="008D018E">
        <w:t xml:space="preserve">If the PHA determines that a qualifying financial hardship is temporary, the PHA must suspend the minimum rent for the 90-day period beginning the first of the month following the date of the family’s request for a hardship exemption. </w:t>
      </w:r>
    </w:p>
    <w:p w14:paraId="28F8B160" w14:textId="77777777" w:rsidR="008D018E" w:rsidRPr="008D018E" w:rsidRDefault="008D018E" w:rsidP="008D018E">
      <w:pPr>
        <w:ind w:left="500"/>
      </w:pPr>
      <w:r w:rsidRPr="008D018E">
        <w:t xml:space="preserve">At the end of the 90-day suspension period, the family must resume payment of the minimum rent and must repay the PHA the amounts suspended. HUD requires the PHA to offer a reasonable repayment agreement, on terms and conditions established by the PHA. The PHA also may determine that circumstances have </w:t>
      </w:r>
      <w:proofErr w:type="gramStart"/>
      <w:r w:rsidRPr="008D018E">
        <w:t>changed</w:t>
      </w:r>
      <w:proofErr w:type="gramEnd"/>
      <w:r w:rsidRPr="008D018E">
        <w:t xml:space="preserve"> and the hardship is now a long-term hardship. </w:t>
      </w:r>
    </w:p>
    <w:p w14:paraId="67B96A04" w14:textId="77777777" w:rsidR="008D018E" w:rsidRPr="008D018E" w:rsidRDefault="008D018E" w:rsidP="008D018E">
      <w:pPr>
        <w:ind w:left="720"/>
        <w:rPr>
          <w:u w:val="single"/>
        </w:rPr>
      </w:pPr>
      <w:r w:rsidRPr="008D018E">
        <w:rPr>
          <w:u w:val="single"/>
        </w:rPr>
        <w:t xml:space="preserve">PHA Policy </w:t>
      </w:r>
    </w:p>
    <w:p w14:paraId="526195F1" w14:textId="4F2519DB" w:rsidR="008D018E" w:rsidRDefault="008D018E" w:rsidP="008D018E">
      <w:pPr>
        <w:ind w:left="720"/>
      </w:pPr>
      <w:r w:rsidRPr="008D018E">
        <w:t>The PHA will enter into a repayment agreement in accordance with the procedures found in Chapter 16 of this plan.</w:t>
      </w:r>
    </w:p>
    <w:p w14:paraId="5232B9B6" w14:textId="77777777" w:rsidR="002E79DC" w:rsidRDefault="002E79DC" w:rsidP="00680F98">
      <w:pPr>
        <w:rPr>
          <w:b/>
          <w:bCs/>
          <w:i/>
          <w:iCs/>
        </w:rPr>
      </w:pPr>
    </w:p>
    <w:p w14:paraId="3458DFF0" w14:textId="75B5956F" w:rsidR="002E79DC" w:rsidRPr="002E79DC" w:rsidRDefault="002E79DC" w:rsidP="002E79DC">
      <w:pPr>
        <w:ind w:left="360"/>
      </w:pPr>
      <w:r w:rsidRPr="002E79DC">
        <w:rPr>
          <w:b/>
          <w:bCs/>
          <w:i/>
          <w:iCs/>
        </w:rPr>
        <w:lastRenderedPageBreak/>
        <w:t xml:space="preserve">Long-Term Hardship </w:t>
      </w:r>
    </w:p>
    <w:p w14:paraId="5093D6CC" w14:textId="77777777" w:rsidR="002E79DC" w:rsidRPr="002E79DC" w:rsidRDefault="002E79DC" w:rsidP="002E79DC">
      <w:pPr>
        <w:ind w:left="360"/>
      </w:pPr>
      <w:r w:rsidRPr="002E79DC">
        <w:t xml:space="preserve">If the PHA determines that the financial hardship is long-term, the PHA must exempt the family from the minimum rent requirement for so long as the hardship continues. The exemption will apply from the first of the month following the family’s request until the end of the qualifying hardship. When the financial hardship has been determined to be long-term, the family is not required to repay the minimum rent. </w:t>
      </w:r>
    </w:p>
    <w:p w14:paraId="52A43D6E" w14:textId="77777777" w:rsidR="002E79DC" w:rsidRPr="002E79DC" w:rsidRDefault="002E79DC" w:rsidP="002E79DC">
      <w:pPr>
        <w:ind w:left="720"/>
        <w:rPr>
          <w:u w:val="single"/>
        </w:rPr>
      </w:pPr>
      <w:r w:rsidRPr="002E79DC">
        <w:rPr>
          <w:u w:val="single"/>
        </w:rPr>
        <w:t xml:space="preserve">PHA Policy </w:t>
      </w:r>
    </w:p>
    <w:p w14:paraId="01D57F54" w14:textId="77777777" w:rsidR="002E79DC" w:rsidRPr="002E79DC" w:rsidRDefault="002E79DC" w:rsidP="002E79DC">
      <w:pPr>
        <w:ind w:left="720"/>
      </w:pPr>
      <w:r w:rsidRPr="002E79DC">
        <w:t xml:space="preserve">The hardship period ends when any of the following circumstances apply: </w:t>
      </w:r>
    </w:p>
    <w:p w14:paraId="76826F3C" w14:textId="61D5C606" w:rsidR="002E79DC" w:rsidRDefault="002E79DC" w:rsidP="002E79DC">
      <w:pPr>
        <w:pStyle w:val="ListParagraph"/>
        <w:numPr>
          <w:ilvl w:val="0"/>
          <w:numId w:val="1"/>
        </w:numPr>
      </w:pPr>
      <w:r w:rsidRPr="002E79DC">
        <w:t xml:space="preserve">an interim or annual reexamination, the family’s calculated TTP is greater than the minimum rent. </w:t>
      </w:r>
    </w:p>
    <w:p w14:paraId="66A84E6E" w14:textId="2A139403" w:rsidR="002E79DC" w:rsidRPr="002E79DC" w:rsidRDefault="002E79DC" w:rsidP="002E79DC">
      <w:pPr>
        <w:pStyle w:val="ListParagraph"/>
        <w:numPr>
          <w:ilvl w:val="0"/>
          <w:numId w:val="1"/>
        </w:numPr>
      </w:pPr>
      <w:r>
        <w:t xml:space="preserve">The household is no longer considered an elderly or disabled household. </w:t>
      </w:r>
    </w:p>
    <w:p w14:paraId="04F25A12" w14:textId="77777777" w:rsidR="002E79DC" w:rsidRPr="002E79DC" w:rsidRDefault="002E79DC" w:rsidP="002E79DC">
      <w:pPr>
        <w:ind w:left="720"/>
      </w:pPr>
      <w:r w:rsidRPr="002E79DC">
        <w:t xml:space="preserve">(2) </w:t>
      </w:r>
      <w:r w:rsidRPr="002E79DC">
        <w:rPr>
          <w:strike/>
        </w:rPr>
        <w:t xml:space="preserve">For hardship conditions based on loss of income, the hardship </w:t>
      </w:r>
      <w:proofErr w:type="gramStart"/>
      <w:r w:rsidRPr="002E79DC">
        <w:rPr>
          <w:strike/>
        </w:rPr>
        <w:t>condition</w:t>
      </w:r>
      <w:proofErr w:type="gramEnd"/>
      <w:r w:rsidRPr="002E79DC">
        <w:rPr>
          <w:strike/>
        </w:rPr>
        <w:t xml:space="preserve"> will continue to be recognized until new sources of income are received that are at least equal to the amount lost. For example, if a hardship is approved because a family no longer receives a $60/month child support payment, the hardship will continue to exist until the family receives at least $60/month in income from another source or once again begins to receive the child support.</w:t>
      </w:r>
      <w:r w:rsidRPr="002E79DC">
        <w:t xml:space="preserve"> </w:t>
      </w:r>
    </w:p>
    <w:p w14:paraId="0016EF52" w14:textId="6076261A" w:rsidR="008D018E" w:rsidRDefault="002E79DC" w:rsidP="002E79DC">
      <w:pPr>
        <w:ind w:left="720"/>
        <w:rPr>
          <w:strike/>
        </w:rPr>
      </w:pPr>
      <w:r w:rsidRPr="002E79DC">
        <w:rPr>
          <w:strike/>
        </w:rPr>
        <w:t>(3) For hardship conditions based upon hardship-related expenses, the minimum rent exemption will continue to be recognized until the cumulative amount exempted is equal to the expense incurred.</w:t>
      </w:r>
    </w:p>
    <w:p w14:paraId="3D829462" w14:textId="77777777" w:rsidR="00680F98" w:rsidRDefault="00680F98" w:rsidP="002E79DC">
      <w:pPr>
        <w:ind w:left="720"/>
        <w:rPr>
          <w:strike/>
        </w:rPr>
      </w:pPr>
    </w:p>
    <w:p w14:paraId="597E1A09" w14:textId="18A7C69A" w:rsidR="00680F98" w:rsidRDefault="00680F98" w:rsidP="00680F98">
      <w:pPr>
        <w:rPr>
          <w:b/>
          <w:bCs/>
          <w:u w:val="single"/>
        </w:rPr>
      </w:pPr>
      <w:r w:rsidRPr="00FF41B4">
        <w:rPr>
          <w:b/>
          <w:bCs/>
          <w:u w:val="single"/>
        </w:rPr>
        <w:t>Chapter 6, Page 6-</w:t>
      </w:r>
      <w:r>
        <w:rPr>
          <w:b/>
          <w:bCs/>
          <w:u w:val="single"/>
        </w:rPr>
        <w:t>60</w:t>
      </w:r>
    </w:p>
    <w:p w14:paraId="2188AEE5" w14:textId="77777777" w:rsidR="00680F98" w:rsidRPr="00680F98" w:rsidRDefault="00680F98" w:rsidP="00680F98">
      <w:pPr>
        <w:widowControl w:val="0"/>
        <w:tabs>
          <w:tab w:val="clear" w:pos="360"/>
          <w:tab w:val="clear" w:pos="1080"/>
          <w:tab w:val="clear" w:pos="1440"/>
        </w:tabs>
        <w:autoSpaceDE w:val="0"/>
        <w:autoSpaceDN w:val="0"/>
        <w:spacing w:before="125"/>
        <w:ind w:left="220"/>
        <w:outlineLvl w:val="1"/>
        <w:rPr>
          <w:b/>
          <w:bCs/>
        </w:rPr>
      </w:pPr>
      <w:r w:rsidRPr="00680F98">
        <w:rPr>
          <w:b/>
          <w:bCs/>
        </w:rPr>
        <w:t>Changes</w:t>
      </w:r>
      <w:r w:rsidRPr="00680F98">
        <w:rPr>
          <w:b/>
          <w:bCs/>
          <w:spacing w:val="-2"/>
        </w:rPr>
        <w:t xml:space="preserve"> </w:t>
      </w:r>
      <w:r w:rsidRPr="00680F98">
        <w:rPr>
          <w:b/>
          <w:bCs/>
        </w:rPr>
        <w:t>in</w:t>
      </w:r>
      <w:r w:rsidRPr="00680F98">
        <w:rPr>
          <w:b/>
          <w:bCs/>
          <w:spacing w:val="-2"/>
        </w:rPr>
        <w:t xml:space="preserve"> </w:t>
      </w:r>
      <w:r w:rsidRPr="00680F98">
        <w:rPr>
          <w:b/>
          <w:bCs/>
        </w:rPr>
        <w:t>Payment</w:t>
      </w:r>
      <w:r w:rsidRPr="00680F98">
        <w:rPr>
          <w:b/>
          <w:bCs/>
          <w:spacing w:val="-2"/>
        </w:rPr>
        <w:t xml:space="preserve"> Standards</w:t>
      </w:r>
    </w:p>
    <w:p w14:paraId="13AA5B0A" w14:textId="77777777" w:rsidR="00680F98" w:rsidRPr="00680F98" w:rsidRDefault="00680F98" w:rsidP="00680F98">
      <w:pPr>
        <w:widowControl w:val="0"/>
        <w:tabs>
          <w:tab w:val="clear" w:pos="360"/>
          <w:tab w:val="clear" w:pos="1080"/>
          <w:tab w:val="clear" w:pos="1440"/>
        </w:tabs>
        <w:autoSpaceDE w:val="0"/>
        <w:autoSpaceDN w:val="0"/>
        <w:spacing w:before="116"/>
        <w:ind w:left="220" w:right="299"/>
      </w:pPr>
      <w:r w:rsidRPr="00680F98">
        <w:t>When</w:t>
      </w:r>
      <w:r w:rsidRPr="00680F98">
        <w:rPr>
          <w:spacing w:val="-3"/>
        </w:rPr>
        <w:t xml:space="preserve"> </w:t>
      </w:r>
      <w:r w:rsidRPr="00680F98">
        <w:t>the</w:t>
      </w:r>
      <w:r w:rsidRPr="00680F98">
        <w:rPr>
          <w:spacing w:val="-3"/>
        </w:rPr>
        <w:t xml:space="preserve"> </w:t>
      </w:r>
      <w:r w:rsidRPr="00680F98">
        <w:t>PHA</w:t>
      </w:r>
      <w:r w:rsidRPr="00680F98">
        <w:rPr>
          <w:spacing w:val="-3"/>
        </w:rPr>
        <w:t xml:space="preserve"> </w:t>
      </w:r>
      <w:r w:rsidRPr="00680F98">
        <w:t>revises</w:t>
      </w:r>
      <w:r w:rsidRPr="00680F98">
        <w:rPr>
          <w:spacing w:val="-3"/>
        </w:rPr>
        <w:t xml:space="preserve"> </w:t>
      </w:r>
      <w:r w:rsidRPr="00680F98">
        <w:t>its</w:t>
      </w:r>
      <w:r w:rsidRPr="00680F98">
        <w:rPr>
          <w:spacing w:val="-3"/>
        </w:rPr>
        <w:t xml:space="preserve"> </w:t>
      </w:r>
      <w:r w:rsidRPr="00680F98">
        <w:t>payment</w:t>
      </w:r>
      <w:r w:rsidRPr="00680F98">
        <w:rPr>
          <w:spacing w:val="-3"/>
        </w:rPr>
        <w:t xml:space="preserve"> </w:t>
      </w:r>
      <w:r w:rsidRPr="00680F98">
        <w:t>standards</w:t>
      </w:r>
      <w:r w:rsidRPr="00680F98">
        <w:rPr>
          <w:spacing w:val="-3"/>
        </w:rPr>
        <w:t xml:space="preserve"> </w:t>
      </w:r>
      <w:r w:rsidRPr="00680F98">
        <w:t>during</w:t>
      </w:r>
      <w:r w:rsidRPr="00680F98">
        <w:rPr>
          <w:spacing w:val="-6"/>
        </w:rPr>
        <w:t xml:space="preserve"> </w:t>
      </w:r>
      <w:r w:rsidRPr="00680F98">
        <w:t>the</w:t>
      </w:r>
      <w:r w:rsidRPr="00680F98">
        <w:rPr>
          <w:spacing w:val="-3"/>
        </w:rPr>
        <w:t xml:space="preserve"> </w:t>
      </w:r>
      <w:r w:rsidRPr="00680F98">
        <w:t>term</w:t>
      </w:r>
      <w:r w:rsidRPr="00680F98">
        <w:rPr>
          <w:spacing w:val="-3"/>
        </w:rPr>
        <w:t xml:space="preserve"> </w:t>
      </w:r>
      <w:r w:rsidRPr="00680F98">
        <w:t>of</w:t>
      </w:r>
      <w:r w:rsidRPr="00680F98">
        <w:rPr>
          <w:spacing w:val="-4"/>
        </w:rPr>
        <w:t xml:space="preserve"> </w:t>
      </w:r>
      <w:r w:rsidRPr="00680F98">
        <w:t>the</w:t>
      </w:r>
      <w:r w:rsidRPr="00680F98">
        <w:rPr>
          <w:spacing w:val="-3"/>
        </w:rPr>
        <w:t xml:space="preserve"> </w:t>
      </w:r>
      <w:r w:rsidRPr="00680F98">
        <w:t>HAP</w:t>
      </w:r>
      <w:r w:rsidRPr="00680F98">
        <w:rPr>
          <w:spacing w:val="-3"/>
        </w:rPr>
        <w:t xml:space="preserve"> </w:t>
      </w:r>
      <w:r w:rsidRPr="00680F98">
        <w:t>contract</w:t>
      </w:r>
      <w:r w:rsidRPr="00680F98">
        <w:rPr>
          <w:spacing w:val="-3"/>
        </w:rPr>
        <w:t xml:space="preserve"> </w:t>
      </w:r>
      <w:r w:rsidRPr="00680F98">
        <w:t>for</w:t>
      </w:r>
      <w:r w:rsidRPr="00680F98">
        <w:rPr>
          <w:spacing w:val="-2"/>
        </w:rPr>
        <w:t xml:space="preserve"> </w:t>
      </w:r>
      <w:r w:rsidRPr="00680F98">
        <w:t>a</w:t>
      </w:r>
      <w:r w:rsidRPr="00680F98">
        <w:rPr>
          <w:spacing w:val="-4"/>
        </w:rPr>
        <w:t xml:space="preserve"> </w:t>
      </w:r>
      <w:r w:rsidRPr="00680F98">
        <w:t>family’s unit, it will apply the new payment standards in accordance with HUD regulations.</w:t>
      </w:r>
    </w:p>
    <w:p w14:paraId="09734BEE" w14:textId="77777777" w:rsidR="00680F98" w:rsidRPr="00680F98" w:rsidRDefault="00680F98" w:rsidP="00680F98">
      <w:pPr>
        <w:widowControl w:val="0"/>
        <w:tabs>
          <w:tab w:val="clear" w:pos="360"/>
          <w:tab w:val="clear" w:pos="1080"/>
          <w:tab w:val="clear" w:pos="1440"/>
        </w:tabs>
        <w:autoSpaceDE w:val="0"/>
        <w:autoSpaceDN w:val="0"/>
        <w:spacing w:before="0"/>
        <w:ind w:left="220"/>
        <w:outlineLvl w:val="2"/>
        <w:rPr>
          <w:b/>
          <w:bCs/>
          <w:i/>
          <w:iCs/>
          <w:spacing w:val="-2"/>
        </w:rPr>
      </w:pPr>
    </w:p>
    <w:p w14:paraId="27348CE7" w14:textId="77777777" w:rsidR="00680F98" w:rsidRPr="00680F98" w:rsidRDefault="00680F98" w:rsidP="00680F98">
      <w:pPr>
        <w:widowControl w:val="0"/>
        <w:tabs>
          <w:tab w:val="clear" w:pos="360"/>
          <w:tab w:val="clear" w:pos="1080"/>
          <w:tab w:val="clear" w:pos="1440"/>
        </w:tabs>
        <w:autoSpaceDE w:val="0"/>
        <w:autoSpaceDN w:val="0"/>
        <w:spacing w:before="125"/>
        <w:ind w:left="220"/>
        <w:outlineLvl w:val="2"/>
        <w:rPr>
          <w:b/>
          <w:bCs/>
          <w:i/>
          <w:iCs/>
          <w:spacing w:val="-2"/>
        </w:rPr>
      </w:pPr>
      <w:r w:rsidRPr="00680F98">
        <w:rPr>
          <w:b/>
          <w:bCs/>
          <w:i/>
          <w:iCs/>
          <w:spacing w:val="-2"/>
        </w:rPr>
        <w:t>Decreases</w:t>
      </w:r>
    </w:p>
    <w:p w14:paraId="260E5089" w14:textId="77777777" w:rsidR="00680F98" w:rsidRDefault="00680F98" w:rsidP="00680F98">
      <w:pPr>
        <w:widowControl w:val="0"/>
        <w:tabs>
          <w:tab w:val="clear" w:pos="360"/>
          <w:tab w:val="clear" w:pos="1080"/>
          <w:tab w:val="clear" w:pos="1440"/>
        </w:tabs>
        <w:autoSpaceDE w:val="0"/>
        <w:autoSpaceDN w:val="0"/>
        <w:spacing w:before="125"/>
        <w:ind w:left="220"/>
      </w:pPr>
      <w:r w:rsidRPr="00680F98">
        <w:t>For new HAP contracts, the PHA applies the payment standard in effect at the time of HAP contract execution.</w:t>
      </w:r>
    </w:p>
    <w:p w14:paraId="56410BA2" w14:textId="77777777" w:rsidR="00BB31D5" w:rsidRPr="00680F98" w:rsidRDefault="00BB31D5" w:rsidP="00680F98">
      <w:pPr>
        <w:widowControl w:val="0"/>
        <w:tabs>
          <w:tab w:val="clear" w:pos="360"/>
          <w:tab w:val="clear" w:pos="1080"/>
          <w:tab w:val="clear" w:pos="1440"/>
        </w:tabs>
        <w:autoSpaceDE w:val="0"/>
        <w:autoSpaceDN w:val="0"/>
        <w:spacing w:before="125"/>
        <w:ind w:left="220"/>
      </w:pPr>
    </w:p>
    <w:p w14:paraId="0E3470B6" w14:textId="77777777" w:rsidR="00680F98" w:rsidRPr="00680F98" w:rsidRDefault="00680F98" w:rsidP="00680F98">
      <w:pPr>
        <w:widowControl w:val="0"/>
        <w:tabs>
          <w:tab w:val="clear" w:pos="360"/>
          <w:tab w:val="clear" w:pos="1080"/>
          <w:tab w:val="clear" w:pos="1440"/>
        </w:tabs>
        <w:autoSpaceDE w:val="0"/>
        <w:autoSpaceDN w:val="0"/>
        <w:spacing w:before="0"/>
        <w:ind w:left="220"/>
      </w:pPr>
      <w:r w:rsidRPr="00680F98">
        <w:t>The PHA must administer decreases in the payment standard amount for the family in accordance with the PHA policy as described in the administrative plan and apply the policy consistently to all families.</w:t>
      </w:r>
    </w:p>
    <w:p w14:paraId="0CD4C0E6" w14:textId="77777777" w:rsidR="00680F98" w:rsidRPr="00680F98" w:rsidRDefault="00680F98" w:rsidP="00680F98">
      <w:pPr>
        <w:widowControl w:val="0"/>
        <w:tabs>
          <w:tab w:val="clear" w:pos="360"/>
          <w:tab w:val="clear" w:pos="1080"/>
          <w:tab w:val="clear" w:pos="1440"/>
        </w:tabs>
        <w:autoSpaceDE w:val="0"/>
        <w:autoSpaceDN w:val="0"/>
        <w:spacing w:before="1"/>
        <w:ind w:left="220" w:right="217"/>
      </w:pPr>
    </w:p>
    <w:p w14:paraId="58F8F5AB" w14:textId="0C20B221" w:rsidR="00680F98" w:rsidRPr="00680F98" w:rsidRDefault="00680F98" w:rsidP="00680F98">
      <w:pPr>
        <w:widowControl w:val="0"/>
        <w:tabs>
          <w:tab w:val="clear" w:pos="360"/>
          <w:tab w:val="clear" w:pos="1080"/>
          <w:tab w:val="clear" w:pos="1440"/>
        </w:tabs>
        <w:autoSpaceDE w:val="0"/>
        <w:autoSpaceDN w:val="0"/>
        <w:spacing w:before="1"/>
        <w:ind w:left="220" w:right="217"/>
      </w:pPr>
      <w:r w:rsidRPr="00680F98">
        <w:t>If a PHA changes its payment standard schedule, resulting in a lower payment standard amount, during</w:t>
      </w:r>
      <w:r w:rsidRPr="00680F98">
        <w:rPr>
          <w:spacing w:val="-5"/>
        </w:rPr>
        <w:t xml:space="preserve"> </w:t>
      </w:r>
      <w:r w:rsidRPr="00680F98">
        <w:t>the</w:t>
      </w:r>
      <w:r w:rsidRPr="00680F98">
        <w:rPr>
          <w:spacing w:val="-3"/>
        </w:rPr>
        <w:t xml:space="preserve"> </w:t>
      </w:r>
      <w:r w:rsidRPr="00680F98">
        <w:t>term</w:t>
      </w:r>
      <w:r w:rsidRPr="00680F98">
        <w:rPr>
          <w:spacing w:val="-3"/>
        </w:rPr>
        <w:t xml:space="preserve"> </w:t>
      </w:r>
      <w:r w:rsidRPr="00680F98">
        <w:t>of</w:t>
      </w:r>
      <w:r w:rsidRPr="00680F98">
        <w:rPr>
          <w:spacing w:val="-4"/>
        </w:rPr>
        <w:t xml:space="preserve"> </w:t>
      </w:r>
      <w:r w:rsidRPr="00680F98">
        <w:t>t</w:t>
      </w:r>
      <w:r>
        <w:t>he</w:t>
      </w:r>
      <w:r w:rsidRPr="00680F98">
        <w:rPr>
          <w:spacing w:val="-3"/>
        </w:rPr>
        <w:t xml:space="preserve"> </w:t>
      </w:r>
      <w:r w:rsidRPr="00680F98">
        <w:t>HAP</w:t>
      </w:r>
      <w:r w:rsidRPr="00680F98">
        <w:rPr>
          <w:spacing w:val="-3"/>
        </w:rPr>
        <w:t xml:space="preserve"> </w:t>
      </w:r>
      <w:r w:rsidRPr="00680F98">
        <w:t>contract,</w:t>
      </w:r>
      <w:r w:rsidRPr="00680F98">
        <w:rPr>
          <w:spacing w:val="-3"/>
        </w:rPr>
        <w:t xml:space="preserve"> </w:t>
      </w:r>
      <w:r w:rsidRPr="00680F98">
        <w:t>the</w:t>
      </w:r>
      <w:r w:rsidRPr="00680F98">
        <w:rPr>
          <w:spacing w:val="-4"/>
        </w:rPr>
        <w:t xml:space="preserve"> </w:t>
      </w:r>
      <w:r w:rsidRPr="00680F98">
        <w:t>PHA</w:t>
      </w:r>
      <w:r w:rsidRPr="00680F98">
        <w:rPr>
          <w:spacing w:val="-4"/>
        </w:rPr>
        <w:t xml:space="preserve"> </w:t>
      </w:r>
      <w:r w:rsidRPr="00680F98">
        <w:t>is</w:t>
      </w:r>
      <w:r w:rsidRPr="00680F98">
        <w:rPr>
          <w:spacing w:val="-3"/>
        </w:rPr>
        <w:t xml:space="preserve"> </w:t>
      </w:r>
      <w:r w:rsidRPr="00680F98">
        <w:t>not</w:t>
      </w:r>
      <w:r w:rsidRPr="00680F98">
        <w:rPr>
          <w:spacing w:val="-3"/>
        </w:rPr>
        <w:t xml:space="preserve"> </w:t>
      </w:r>
      <w:r w:rsidRPr="00680F98">
        <w:t>required</w:t>
      </w:r>
      <w:r w:rsidRPr="00680F98">
        <w:rPr>
          <w:spacing w:val="-3"/>
        </w:rPr>
        <w:t xml:space="preserve"> </w:t>
      </w:r>
      <w:r w:rsidRPr="00680F98">
        <w:t>to</w:t>
      </w:r>
      <w:r w:rsidRPr="00680F98">
        <w:rPr>
          <w:spacing w:val="-3"/>
        </w:rPr>
        <w:t xml:space="preserve"> </w:t>
      </w:r>
      <w:r w:rsidRPr="00680F98">
        <w:t>reduce</w:t>
      </w:r>
      <w:r w:rsidRPr="00680F98">
        <w:rPr>
          <w:spacing w:val="-4"/>
        </w:rPr>
        <w:t xml:space="preserve"> </w:t>
      </w:r>
      <w:r w:rsidRPr="00680F98">
        <w:t>the</w:t>
      </w:r>
      <w:r w:rsidRPr="00680F98">
        <w:rPr>
          <w:spacing w:val="-3"/>
        </w:rPr>
        <w:t xml:space="preserve"> </w:t>
      </w:r>
      <w:r w:rsidRPr="00680F98">
        <w:t>payment</w:t>
      </w:r>
      <w:r w:rsidRPr="00680F98">
        <w:rPr>
          <w:spacing w:val="-3"/>
        </w:rPr>
        <w:t xml:space="preserve"> </w:t>
      </w:r>
      <w:r w:rsidRPr="00680F98">
        <w:t>standard</w:t>
      </w:r>
      <w:r w:rsidRPr="00680F98">
        <w:rPr>
          <w:spacing w:val="-3"/>
        </w:rPr>
        <w:t xml:space="preserve"> </w:t>
      </w:r>
      <w:r w:rsidRPr="00680F98">
        <w:t xml:space="preserve">used to calculate subsidy for families under HAP contract </w:t>
      </w:r>
      <w:proofErr w:type="gramStart"/>
      <w:r w:rsidRPr="00680F98">
        <w:t>as long as</w:t>
      </w:r>
      <w:proofErr w:type="gramEnd"/>
      <w:r w:rsidRPr="00680F98">
        <w:t xml:space="preserve"> the HAP contract remains in effect.</w:t>
      </w:r>
    </w:p>
    <w:p w14:paraId="61F59136" w14:textId="77777777" w:rsidR="00680F98" w:rsidRPr="00680F98" w:rsidRDefault="00680F98" w:rsidP="00680F98">
      <w:pPr>
        <w:widowControl w:val="0"/>
        <w:tabs>
          <w:tab w:val="clear" w:pos="360"/>
          <w:tab w:val="clear" w:pos="1080"/>
          <w:tab w:val="clear" w:pos="1440"/>
        </w:tabs>
        <w:autoSpaceDE w:val="0"/>
        <w:autoSpaceDN w:val="0"/>
        <w:spacing w:before="1"/>
        <w:ind w:left="220" w:right="217"/>
      </w:pPr>
    </w:p>
    <w:p w14:paraId="24D0BAA2" w14:textId="77777777" w:rsidR="00680F98" w:rsidRPr="00680F98" w:rsidRDefault="00680F98" w:rsidP="00680F98">
      <w:pPr>
        <w:widowControl w:val="0"/>
        <w:tabs>
          <w:tab w:val="clear" w:pos="360"/>
          <w:tab w:val="clear" w:pos="1080"/>
          <w:tab w:val="clear" w:pos="1440"/>
        </w:tabs>
        <w:autoSpaceDE w:val="0"/>
        <w:autoSpaceDN w:val="0"/>
        <w:spacing w:before="1"/>
        <w:ind w:left="220" w:right="217"/>
      </w:pPr>
      <w:r w:rsidRPr="00680F98">
        <w:t xml:space="preserve">If the PHA does choose to reduce the payment standard for families currently under HAP contract, the initial reduction to the payment standard may not be applied any earlier than </w:t>
      </w:r>
      <w:r w:rsidRPr="00680F98">
        <w:lastRenderedPageBreak/>
        <w:t xml:space="preserve">two years following the effective date of the decrease in the payment standard and only with proper written notice to the family in accordance with 24 CFR 982.505(c)(3)(iii). </w:t>
      </w:r>
    </w:p>
    <w:p w14:paraId="76948F8C" w14:textId="77777777" w:rsidR="00680F98" w:rsidRPr="00680F98" w:rsidRDefault="00680F98" w:rsidP="00680F98">
      <w:pPr>
        <w:tabs>
          <w:tab w:val="clear" w:pos="360"/>
          <w:tab w:val="clear" w:pos="1080"/>
          <w:tab w:val="clear" w:pos="1440"/>
        </w:tabs>
        <w:ind w:left="220"/>
      </w:pPr>
      <w:r w:rsidRPr="00680F98">
        <w:t>At that point, the PHA may either reduce the payment standard to the current amount in effect on the PHA’s payment standard schedule or may reduce the payment standard to another amount that is higher than the normally applicable amount on the schedule. The PHA may also establish different policies for designated areas within their jurisdiction (e.g., different zip code areas).</w:t>
      </w:r>
    </w:p>
    <w:p w14:paraId="3C53DEA1" w14:textId="77777777" w:rsidR="00680F98" w:rsidRPr="00680F98" w:rsidRDefault="00680F98" w:rsidP="00680F98">
      <w:pPr>
        <w:tabs>
          <w:tab w:val="clear" w:pos="360"/>
          <w:tab w:val="clear" w:pos="1080"/>
          <w:tab w:val="clear" w:pos="1440"/>
        </w:tabs>
        <w:ind w:left="220"/>
      </w:pPr>
      <w:r w:rsidRPr="00680F98">
        <w:t xml:space="preserve">In any case, the PHA must provide the family with at least 12 months’ notice that the payment standard is being reduced before the effective date of the change. In the written notice, the PHA must state the new payment standard amount, explain that the family’s new payment standard amount will be the greater of the amount listed in the current written notice or the new amount (if any) on the PHA’s payment standard schedule at the end of the 12-month period, and make clear where the family will find the PHA’s payment standard schedule. The PHA’s policy on decreases in the payment standard during the term of the HAP contract apply to all families under HAP contract at the time of the effective date of the decrease in the payment standard within the designated area. </w:t>
      </w:r>
    </w:p>
    <w:p w14:paraId="78908833" w14:textId="77777777" w:rsidR="00680F98" w:rsidRPr="00680F98" w:rsidRDefault="00680F98" w:rsidP="00680F98">
      <w:pPr>
        <w:tabs>
          <w:tab w:val="clear" w:pos="360"/>
          <w:tab w:val="clear" w:pos="1080"/>
          <w:tab w:val="clear" w:pos="1440"/>
        </w:tabs>
        <w:ind w:left="720"/>
        <w:rPr>
          <w:u w:val="single"/>
        </w:rPr>
      </w:pPr>
      <w:r w:rsidRPr="00680F98">
        <w:rPr>
          <w:u w:val="single"/>
        </w:rPr>
        <w:t>PHA Policy</w:t>
      </w:r>
    </w:p>
    <w:p w14:paraId="5035C5E9" w14:textId="77777777" w:rsidR="0053222F" w:rsidRPr="0053222F" w:rsidRDefault="0053222F" w:rsidP="0053222F">
      <w:pPr>
        <w:tabs>
          <w:tab w:val="clear" w:pos="360"/>
          <w:tab w:val="clear" w:pos="1080"/>
          <w:tab w:val="clear" w:pos="1440"/>
        </w:tabs>
        <w:ind w:left="720"/>
        <w:rPr>
          <w:highlight w:val="yellow"/>
        </w:rPr>
      </w:pPr>
      <w:r w:rsidRPr="0053222F">
        <w:rPr>
          <w:highlight w:val="yellow"/>
        </w:rPr>
        <w:t>When the payment standard schedule is decreased during the term of the HAP contract, the PHA will determine the payment standard for families currently under a HAP contract as follows:</w:t>
      </w:r>
    </w:p>
    <w:p w14:paraId="39F66C43" w14:textId="77777777" w:rsidR="0053222F" w:rsidRPr="0053222F" w:rsidRDefault="0053222F" w:rsidP="0053222F">
      <w:pPr>
        <w:tabs>
          <w:tab w:val="clear" w:pos="360"/>
          <w:tab w:val="clear" w:pos="1080"/>
          <w:tab w:val="clear" w:pos="1440"/>
        </w:tabs>
        <w:ind w:left="1440"/>
        <w:rPr>
          <w:highlight w:val="yellow"/>
        </w:rPr>
      </w:pPr>
      <w:r w:rsidRPr="0053222F">
        <w:rPr>
          <w:b/>
          <w:highlight w:val="yellow"/>
        </w:rPr>
        <w:t>Step 1:</w:t>
      </w:r>
      <w:r w:rsidRPr="0053222F">
        <w:rPr>
          <w:highlight w:val="yellow"/>
        </w:rPr>
        <w:t xml:space="preserve"> At the first regular reexamination following the decrease in the payment standard, the PHA will determine the payment standard for the family using the lower of the payment standard for the family unit size or the size of the dwelling unit rented by the family.</w:t>
      </w:r>
    </w:p>
    <w:p w14:paraId="3DA42067" w14:textId="77777777" w:rsidR="0053222F" w:rsidRPr="0053222F" w:rsidRDefault="0053222F" w:rsidP="0053222F">
      <w:pPr>
        <w:tabs>
          <w:tab w:val="clear" w:pos="360"/>
          <w:tab w:val="clear" w:pos="1080"/>
          <w:tab w:val="clear" w:pos="1440"/>
        </w:tabs>
        <w:ind w:left="1440"/>
        <w:rPr>
          <w:highlight w:val="yellow"/>
        </w:rPr>
      </w:pPr>
      <w:r w:rsidRPr="0053222F">
        <w:rPr>
          <w:b/>
          <w:highlight w:val="yellow"/>
        </w:rPr>
        <w:t>Step 2:</w:t>
      </w:r>
      <w:r w:rsidRPr="0053222F">
        <w:rPr>
          <w:highlight w:val="yellow"/>
        </w:rPr>
        <w:t xml:space="preserve"> The PHA will compare the payment standard from Step 1 to the payment standard last used to calculate the monthly housing assistance payment for the family. The payment standard used by the PHA at the first regular </w:t>
      </w:r>
      <w:proofErr w:type="gramStart"/>
      <w:r w:rsidRPr="0053222F">
        <w:rPr>
          <w:highlight w:val="yellow"/>
        </w:rPr>
        <w:t>reexamination</w:t>
      </w:r>
      <w:proofErr w:type="gramEnd"/>
      <w:r w:rsidRPr="0053222F">
        <w:rPr>
          <w:highlight w:val="yellow"/>
        </w:rPr>
        <w:t xml:space="preserve"> following the decrease in the payment standard will be the higher of these two payment standards. The PHA will advise the family that the application of the lower payment standard will be deferred until the second regular reexamination following the effective date of the decrease in the payment standard.</w:t>
      </w:r>
    </w:p>
    <w:p w14:paraId="5C7BF5FE" w14:textId="77777777" w:rsidR="0053222F" w:rsidRPr="00B54141" w:rsidRDefault="0053222F" w:rsidP="0053222F">
      <w:pPr>
        <w:tabs>
          <w:tab w:val="clear" w:pos="360"/>
          <w:tab w:val="clear" w:pos="1080"/>
          <w:tab w:val="clear" w:pos="1440"/>
        </w:tabs>
        <w:ind w:left="1440"/>
      </w:pPr>
      <w:r w:rsidRPr="0053222F">
        <w:rPr>
          <w:b/>
          <w:highlight w:val="yellow"/>
        </w:rPr>
        <w:t>Step 3:</w:t>
      </w:r>
      <w:r w:rsidRPr="0053222F">
        <w:rPr>
          <w:highlight w:val="yellow"/>
        </w:rPr>
        <w:t xml:space="preserve"> At the second regular reexamination following the decrease in the payment standard, the current (lower) payment standard will be used to calculate the monthly housing assistance payment for the family unless the PHA has subsequently increased the payment standard, in which case the payment standard will be determined in accordance with procedures for increases in payment standards.</w:t>
      </w:r>
    </w:p>
    <w:p w14:paraId="1D811BF4" w14:textId="466A5B9A" w:rsidR="00680F98" w:rsidRPr="00680F98" w:rsidRDefault="00680F98" w:rsidP="0053222F">
      <w:pPr>
        <w:tabs>
          <w:tab w:val="clear" w:pos="360"/>
          <w:tab w:val="clear" w:pos="1080"/>
          <w:tab w:val="clear" w:pos="1440"/>
        </w:tabs>
        <w:rPr>
          <w:b/>
          <w:bCs/>
          <w:i/>
          <w:iCs/>
          <w:spacing w:val="-2"/>
        </w:rPr>
      </w:pPr>
      <w:r w:rsidRPr="00680F98">
        <w:rPr>
          <w:b/>
          <w:bCs/>
          <w:i/>
          <w:iCs/>
          <w:spacing w:val="-2"/>
        </w:rPr>
        <w:t>Increases</w:t>
      </w:r>
    </w:p>
    <w:p w14:paraId="7D1A1A75" w14:textId="77777777" w:rsidR="00680F98" w:rsidRPr="00680F98" w:rsidRDefault="00680F98" w:rsidP="00680F98">
      <w:pPr>
        <w:tabs>
          <w:tab w:val="clear" w:pos="360"/>
          <w:tab w:val="clear" w:pos="1080"/>
          <w:tab w:val="clear" w:pos="1440"/>
        </w:tabs>
      </w:pPr>
      <w:r w:rsidRPr="00680F98">
        <w:t>If the payment standard is increased during the term of the HAP contract, the increased payment standard will be applied no later than the earliest of:</w:t>
      </w:r>
    </w:p>
    <w:p w14:paraId="6D75EAE5" w14:textId="77777777" w:rsidR="00680F98" w:rsidRPr="00680F98" w:rsidRDefault="00680F98" w:rsidP="00680F98">
      <w:pPr>
        <w:widowControl w:val="0"/>
        <w:numPr>
          <w:ilvl w:val="0"/>
          <w:numId w:val="2"/>
        </w:numPr>
        <w:tabs>
          <w:tab w:val="clear" w:pos="1080"/>
          <w:tab w:val="clear" w:pos="1440"/>
        </w:tabs>
        <w:autoSpaceDE w:val="0"/>
        <w:autoSpaceDN w:val="0"/>
        <w:spacing w:before="0"/>
        <w:ind w:left="360"/>
      </w:pPr>
      <w:r w:rsidRPr="00680F98">
        <w:rPr>
          <w:iCs/>
        </w:rPr>
        <w:t xml:space="preserve">The effective </w:t>
      </w:r>
      <w:r w:rsidRPr="00680F98">
        <w:t>date</w:t>
      </w:r>
      <w:r w:rsidRPr="00680F98">
        <w:rPr>
          <w:iCs/>
        </w:rPr>
        <w:t xml:space="preserve"> of an increase in the gross </w:t>
      </w:r>
      <w:proofErr w:type="gramStart"/>
      <w:r w:rsidRPr="00680F98">
        <w:rPr>
          <w:iCs/>
        </w:rPr>
        <w:t>rent that</w:t>
      </w:r>
      <w:proofErr w:type="gramEnd"/>
      <w:r w:rsidRPr="00680F98">
        <w:rPr>
          <w:iCs/>
        </w:rPr>
        <w:t xml:space="preserve"> would result in an increase in </w:t>
      </w:r>
      <w:proofErr w:type="gramStart"/>
      <w:r w:rsidRPr="00680F98">
        <w:rPr>
          <w:iCs/>
        </w:rPr>
        <w:t>the family</w:t>
      </w:r>
      <w:proofErr w:type="gramEnd"/>
      <w:r w:rsidRPr="00680F98">
        <w:rPr>
          <w:iCs/>
        </w:rPr>
        <w:t xml:space="preserve"> </w:t>
      </w:r>
      <w:proofErr w:type="gramStart"/>
      <w:r w:rsidRPr="00680F98">
        <w:rPr>
          <w:iCs/>
        </w:rPr>
        <w:t>share;</w:t>
      </w:r>
      <w:proofErr w:type="gramEnd"/>
    </w:p>
    <w:p w14:paraId="5FC13EB6" w14:textId="77777777" w:rsidR="00680F98" w:rsidRPr="00680F98" w:rsidRDefault="00680F98" w:rsidP="00680F98">
      <w:pPr>
        <w:widowControl w:val="0"/>
        <w:numPr>
          <w:ilvl w:val="0"/>
          <w:numId w:val="2"/>
        </w:numPr>
        <w:tabs>
          <w:tab w:val="clear" w:pos="1080"/>
          <w:tab w:val="clear" w:pos="1440"/>
        </w:tabs>
        <w:autoSpaceDE w:val="0"/>
        <w:autoSpaceDN w:val="0"/>
        <w:spacing w:before="0"/>
        <w:ind w:left="360"/>
      </w:pPr>
      <w:r w:rsidRPr="00680F98">
        <w:rPr>
          <w:iCs/>
        </w:rPr>
        <w:lastRenderedPageBreak/>
        <w:t xml:space="preserve">The family’s </w:t>
      </w:r>
      <w:r w:rsidRPr="00680F98">
        <w:t>first</w:t>
      </w:r>
      <w:r w:rsidRPr="00680F98">
        <w:rPr>
          <w:iCs/>
        </w:rPr>
        <w:t xml:space="preserve"> regular or interim reexamination; or</w:t>
      </w:r>
    </w:p>
    <w:p w14:paraId="138FBF23" w14:textId="77777777" w:rsidR="00680F98" w:rsidRPr="00680F98" w:rsidRDefault="00680F98" w:rsidP="00680F98">
      <w:pPr>
        <w:widowControl w:val="0"/>
        <w:numPr>
          <w:ilvl w:val="0"/>
          <w:numId w:val="2"/>
        </w:numPr>
        <w:tabs>
          <w:tab w:val="clear" w:pos="1080"/>
          <w:tab w:val="clear" w:pos="1440"/>
        </w:tabs>
        <w:autoSpaceDE w:val="0"/>
        <w:autoSpaceDN w:val="0"/>
        <w:spacing w:before="0"/>
        <w:ind w:left="360"/>
      </w:pPr>
      <w:r w:rsidRPr="00680F98">
        <w:rPr>
          <w:iCs/>
        </w:rPr>
        <w:t xml:space="preserve">One year </w:t>
      </w:r>
      <w:r w:rsidRPr="00680F98">
        <w:t>following</w:t>
      </w:r>
      <w:r w:rsidRPr="00680F98">
        <w:rPr>
          <w:iCs/>
        </w:rPr>
        <w:t xml:space="preserve"> the effective date of the increase in the payment standard amount. </w:t>
      </w:r>
    </w:p>
    <w:p w14:paraId="0CA44E3A" w14:textId="77777777" w:rsidR="00680F98" w:rsidRPr="00680F98" w:rsidRDefault="00680F98" w:rsidP="00680F98">
      <w:pPr>
        <w:tabs>
          <w:tab w:val="clear" w:pos="360"/>
          <w:tab w:val="clear" w:pos="1080"/>
          <w:tab w:val="clear" w:pos="1440"/>
        </w:tabs>
        <w:rPr>
          <w:iCs/>
        </w:rPr>
      </w:pPr>
      <w:r w:rsidRPr="00680F98">
        <w:rPr>
          <w:iCs/>
        </w:rPr>
        <w:t xml:space="preserve">The PHA may adopt a policy to apply a payment standard increase at any time earlier than the date calculated above </w:t>
      </w:r>
      <w:bookmarkStart w:id="0" w:name="_Hlk178599552"/>
      <w:bookmarkStart w:id="1" w:name="_Hlk178700228"/>
      <w:proofErr w:type="gramStart"/>
      <w:r w:rsidRPr="00680F98">
        <w:rPr>
          <w:iCs/>
        </w:rPr>
        <w:t>as long as</w:t>
      </w:r>
      <w:proofErr w:type="gramEnd"/>
      <w:r w:rsidRPr="00680F98">
        <w:rPr>
          <w:iCs/>
        </w:rPr>
        <w:t xml:space="preserve"> the policy is included in the administrative plan and applied consistently to all families</w:t>
      </w:r>
      <w:bookmarkEnd w:id="0"/>
      <w:r w:rsidRPr="00680F98">
        <w:rPr>
          <w:iCs/>
        </w:rPr>
        <w:t xml:space="preserve"> </w:t>
      </w:r>
      <w:bookmarkEnd w:id="1"/>
      <w:r w:rsidRPr="00680F98">
        <w:rPr>
          <w:iCs/>
        </w:rPr>
        <w:t>[24 CFR 982.505(c)(5)].</w:t>
      </w:r>
    </w:p>
    <w:p w14:paraId="1659B681" w14:textId="77777777" w:rsidR="00680F98" w:rsidRPr="00680F98" w:rsidRDefault="00680F98" w:rsidP="00680F98">
      <w:pPr>
        <w:tabs>
          <w:tab w:val="clear" w:pos="360"/>
          <w:tab w:val="clear" w:pos="1080"/>
          <w:tab w:val="clear" w:pos="1440"/>
        </w:tabs>
        <w:ind w:left="720"/>
        <w:rPr>
          <w:u w:val="single"/>
        </w:rPr>
      </w:pPr>
      <w:r w:rsidRPr="00680F98">
        <w:rPr>
          <w:u w:val="single"/>
        </w:rPr>
        <w:t>PHA Policy</w:t>
      </w:r>
    </w:p>
    <w:p w14:paraId="71491D27" w14:textId="4396742A" w:rsidR="0053222F" w:rsidRPr="00680F98" w:rsidRDefault="00865A8E" w:rsidP="00680F98">
      <w:pPr>
        <w:tabs>
          <w:tab w:val="clear" w:pos="360"/>
          <w:tab w:val="clear" w:pos="1080"/>
          <w:tab w:val="clear" w:pos="1440"/>
        </w:tabs>
        <w:ind w:left="720"/>
      </w:pPr>
      <w:bookmarkStart w:id="2" w:name="_Hlk172635329"/>
      <w:r w:rsidRPr="008D018E">
        <w:t xml:space="preserve">The PHA has not established </w:t>
      </w:r>
      <w:r w:rsidR="003556D1">
        <w:t xml:space="preserve">a </w:t>
      </w:r>
      <w:r w:rsidR="003772B6">
        <w:t xml:space="preserve">separate </w:t>
      </w:r>
      <w:r w:rsidR="003556D1">
        <w:t xml:space="preserve">policy. </w:t>
      </w:r>
    </w:p>
    <w:bookmarkEnd w:id="2"/>
    <w:p w14:paraId="489B0AB3" w14:textId="77777777" w:rsidR="00680F98" w:rsidRPr="00680F98" w:rsidRDefault="00680F98" w:rsidP="00680F98">
      <w:pPr>
        <w:widowControl w:val="0"/>
        <w:tabs>
          <w:tab w:val="clear" w:pos="360"/>
          <w:tab w:val="clear" w:pos="1080"/>
          <w:tab w:val="clear" w:pos="1440"/>
        </w:tabs>
        <w:autoSpaceDE w:val="0"/>
        <w:autoSpaceDN w:val="0"/>
        <w:spacing w:before="125"/>
        <w:outlineLvl w:val="2"/>
        <w:rPr>
          <w:b/>
          <w:bCs/>
          <w:i/>
          <w:iCs/>
        </w:rPr>
      </w:pPr>
      <w:r w:rsidRPr="00680F98">
        <w:rPr>
          <w:b/>
          <w:bCs/>
          <w:i/>
          <w:iCs/>
        </w:rPr>
        <w:t>Changes</w:t>
      </w:r>
      <w:r w:rsidRPr="00680F98">
        <w:rPr>
          <w:b/>
          <w:bCs/>
          <w:i/>
          <w:iCs/>
          <w:spacing w:val="-3"/>
        </w:rPr>
        <w:t xml:space="preserve"> </w:t>
      </w:r>
      <w:r w:rsidRPr="00680F98">
        <w:rPr>
          <w:b/>
          <w:bCs/>
          <w:i/>
          <w:iCs/>
        </w:rPr>
        <w:t>in</w:t>
      </w:r>
      <w:r w:rsidRPr="00680F98">
        <w:rPr>
          <w:b/>
          <w:bCs/>
          <w:i/>
          <w:iCs/>
          <w:spacing w:val="-1"/>
        </w:rPr>
        <w:t xml:space="preserve"> </w:t>
      </w:r>
      <w:r w:rsidRPr="00680F98">
        <w:rPr>
          <w:b/>
          <w:bCs/>
          <w:i/>
          <w:iCs/>
        </w:rPr>
        <w:t>Family</w:t>
      </w:r>
      <w:r w:rsidRPr="00680F98">
        <w:rPr>
          <w:b/>
          <w:bCs/>
          <w:i/>
          <w:iCs/>
          <w:spacing w:val="-2"/>
        </w:rPr>
        <w:t xml:space="preserve"> </w:t>
      </w:r>
      <w:r w:rsidRPr="00680F98">
        <w:rPr>
          <w:b/>
          <w:bCs/>
          <w:i/>
          <w:iCs/>
        </w:rPr>
        <w:t>Unit</w:t>
      </w:r>
      <w:r w:rsidRPr="00680F98">
        <w:rPr>
          <w:b/>
          <w:bCs/>
          <w:i/>
          <w:iCs/>
          <w:spacing w:val="-2"/>
        </w:rPr>
        <w:t xml:space="preserve"> </w:t>
      </w:r>
      <w:r w:rsidRPr="00680F98">
        <w:rPr>
          <w:b/>
          <w:bCs/>
          <w:i/>
          <w:iCs/>
          <w:spacing w:val="-4"/>
        </w:rPr>
        <w:t>Size</w:t>
      </w:r>
    </w:p>
    <w:p w14:paraId="7EF65562" w14:textId="1E7979A9" w:rsidR="00680F98" w:rsidRDefault="00680F98" w:rsidP="00680F98">
      <w:pPr>
        <w:widowControl w:val="0"/>
        <w:tabs>
          <w:tab w:val="clear" w:pos="360"/>
          <w:tab w:val="clear" w:pos="1080"/>
          <w:tab w:val="clear" w:pos="1440"/>
        </w:tabs>
        <w:autoSpaceDE w:val="0"/>
        <w:autoSpaceDN w:val="0"/>
        <w:spacing w:before="116"/>
        <w:ind w:right="299"/>
      </w:pPr>
      <w:r w:rsidRPr="00680F98">
        <w:t>Irrespective</w:t>
      </w:r>
      <w:r w:rsidRPr="00680F98">
        <w:rPr>
          <w:spacing w:val="-3"/>
        </w:rPr>
        <w:t xml:space="preserve"> </w:t>
      </w:r>
      <w:r w:rsidRPr="00680F98">
        <w:t>of</w:t>
      </w:r>
      <w:r w:rsidRPr="00680F98">
        <w:rPr>
          <w:spacing w:val="-1"/>
        </w:rPr>
        <w:t xml:space="preserve"> </w:t>
      </w:r>
      <w:r w:rsidRPr="00680F98">
        <w:t>any</w:t>
      </w:r>
      <w:r w:rsidRPr="00680F98">
        <w:rPr>
          <w:spacing w:val="-7"/>
        </w:rPr>
        <w:t xml:space="preserve"> </w:t>
      </w:r>
      <w:r w:rsidRPr="00680F98">
        <w:t>increase</w:t>
      </w:r>
      <w:r w:rsidRPr="00680F98">
        <w:rPr>
          <w:spacing w:val="-3"/>
        </w:rPr>
        <w:t xml:space="preserve"> </w:t>
      </w:r>
      <w:r w:rsidRPr="00680F98">
        <w:t>or</w:t>
      </w:r>
      <w:r w:rsidRPr="00680F98">
        <w:rPr>
          <w:spacing w:val="-2"/>
        </w:rPr>
        <w:t xml:space="preserve"> </w:t>
      </w:r>
      <w:r w:rsidRPr="00680F98">
        <w:t>decrease</w:t>
      </w:r>
      <w:r w:rsidRPr="00680F98">
        <w:rPr>
          <w:spacing w:val="-3"/>
        </w:rPr>
        <w:t xml:space="preserve"> </w:t>
      </w:r>
      <w:r w:rsidRPr="00680F98">
        <w:t>in</w:t>
      </w:r>
      <w:r w:rsidRPr="00680F98">
        <w:rPr>
          <w:spacing w:val="-2"/>
        </w:rPr>
        <w:t xml:space="preserve"> </w:t>
      </w:r>
      <w:r w:rsidRPr="00680F98">
        <w:t>the</w:t>
      </w:r>
      <w:r w:rsidRPr="00680F98">
        <w:rPr>
          <w:spacing w:val="-3"/>
        </w:rPr>
        <w:t xml:space="preserve"> </w:t>
      </w:r>
      <w:r w:rsidRPr="00680F98">
        <w:t>payment</w:t>
      </w:r>
      <w:r w:rsidRPr="00680F98">
        <w:rPr>
          <w:spacing w:val="-2"/>
        </w:rPr>
        <w:t xml:space="preserve"> </w:t>
      </w:r>
      <w:r w:rsidRPr="00680F98">
        <w:t>standard,</w:t>
      </w:r>
      <w:r w:rsidRPr="00680F98">
        <w:rPr>
          <w:spacing w:val="-2"/>
        </w:rPr>
        <w:t xml:space="preserve"> </w:t>
      </w:r>
      <w:r w:rsidRPr="00680F98">
        <w:t>if</w:t>
      </w:r>
      <w:r w:rsidRPr="00680F98">
        <w:rPr>
          <w:spacing w:val="-3"/>
        </w:rPr>
        <w:t xml:space="preserve"> </w:t>
      </w:r>
      <w:r w:rsidRPr="00680F98">
        <w:t>the</w:t>
      </w:r>
      <w:r w:rsidRPr="00680F98">
        <w:rPr>
          <w:spacing w:val="-2"/>
        </w:rPr>
        <w:t xml:space="preserve"> </w:t>
      </w:r>
      <w:r w:rsidRPr="00680F98">
        <w:t>family</w:t>
      </w:r>
      <w:r w:rsidRPr="00680F98">
        <w:rPr>
          <w:spacing w:val="-7"/>
        </w:rPr>
        <w:t xml:space="preserve"> </w:t>
      </w:r>
      <w:r w:rsidRPr="00680F98">
        <w:t>unit</w:t>
      </w:r>
      <w:r w:rsidRPr="00680F98">
        <w:rPr>
          <w:spacing w:val="-2"/>
        </w:rPr>
        <w:t xml:space="preserve"> </w:t>
      </w:r>
      <w:r w:rsidRPr="00680F98">
        <w:t>size</w:t>
      </w:r>
      <w:r w:rsidRPr="00680F98">
        <w:rPr>
          <w:spacing w:val="-3"/>
        </w:rPr>
        <w:t xml:space="preserve"> </w:t>
      </w:r>
      <w:r w:rsidRPr="00680F98">
        <w:t>increases or decreases during the HAP contract term, the new family unit size m</w:t>
      </w:r>
      <w:r w:rsidR="0053222F">
        <w:t>ay</w:t>
      </w:r>
      <w:r w:rsidRPr="00680F98">
        <w:t xml:space="preserve"> be used to determine the payment standard for the family beginning at the family’s first regular reexamination following the change in family unit size.</w:t>
      </w:r>
    </w:p>
    <w:p w14:paraId="1129E580" w14:textId="6059AE92" w:rsidR="0053222F" w:rsidRPr="0053222F" w:rsidRDefault="0053222F" w:rsidP="00680F98">
      <w:pPr>
        <w:widowControl w:val="0"/>
        <w:tabs>
          <w:tab w:val="clear" w:pos="360"/>
          <w:tab w:val="clear" w:pos="1080"/>
          <w:tab w:val="clear" w:pos="1440"/>
        </w:tabs>
        <w:autoSpaceDE w:val="0"/>
        <w:autoSpaceDN w:val="0"/>
        <w:spacing w:before="116"/>
        <w:ind w:right="299"/>
        <w:rPr>
          <w:u w:val="single"/>
        </w:rPr>
      </w:pPr>
      <w:r>
        <w:tab/>
      </w:r>
      <w:r w:rsidRPr="0053222F">
        <w:rPr>
          <w:u w:val="single"/>
        </w:rPr>
        <w:t>PHA Policy</w:t>
      </w:r>
    </w:p>
    <w:p w14:paraId="6BAB447D" w14:textId="4CA2FBED" w:rsidR="0053222F" w:rsidRPr="00EF6C8C" w:rsidRDefault="0053222F" w:rsidP="0053222F">
      <w:pPr>
        <w:tabs>
          <w:tab w:val="clear" w:pos="360"/>
          <w:tab w:val="clear" w:pos="1080"/>
          <w:tab w:val="clear" w:pos="1440"/>
        </w:tabs>
        <w:ind w:left="720"/>
      </w:pPr>
      <w:r w:rsidRPr="0053222F">
        <w:rPr>
          <w:highlight w:val="yellow"/>
        </w:rPr>
        <w:t>If the family unit size (voucher size) changes during the term of a HAP contract, the new family unit size will be used to determine the payment standard at the family’s first regular reexamination following the change in family unit size.</w:t>
      </w:r>
      <w:r>
        <w:t xml:space="preserve"> </w:t>
      </w:r>
    </w:p>
    <w:p w14:paraId="4FA332BE" w14:textId="246F729D" w:rsidR="0053222F" w:rsidRPr="00680F98" w:rsidRDefault="0053222F" w:rsidP="00680F98">
      <w:pPr>
        <w:widowControl w:val="0"/>
        <w:tabs>
          <w:tab w:val="clear" w:pos="360"/>
          <w:tab w:val="clear" w:pos="1080"/>
          <w:tab w:val="clear" w:pos="1440"/>
        </w:tabs>
        <w:autoSpaceDE w:val="0"/>
        <w:autoSpaceDN w:val="0"/>
        <w:spacing w:before="116"/>
        <w:ind w:right="299"/>
      </w:pPr>
    </w:p>
    <w:p w14:paraId="56CC4795" w14:textId="77777777" w:rsidR="00016551" w:rsidRPr="006F7ED6" w:rsidRDefault="00016551" w:rsidP="00680F98"/>
    <w:p w14:paraId="7DE5B1EE" w14:textId="77777777" w:rsidR="006F7ED6" w:rsidRPr="002E79DC" w:rsidRDefault="006F7ED6" w:rsidP="00680F98">
      <w:pPr>
        <w:rPr>
          <w:strike/>
        </w:rPr>
      </w:pPr>
    </w:p>
    <w:sectPr w:rsidR="006F7ED6" w:rsidRPr="002E79D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FE08" w14:textId="77777777" w:rsidR="0099192A" w:rsidRDefault="0099192A" w:rsidP="006017F3">
      <w:pPr>
        <w:spacing w:before="0"/>
      </w:pPr>
      <w:r>
        <w:separator/>
      </w:r>
    </w:p>
  </w:endnote>
  <w:endnote w:type="continuationSeparator" w:id="0">
    <w:p w14:paraId="111263B6" w14:textId="77777777" w:rsidR="0099192A" w:rsidRDefault="0099192A" w:rsidP="006017F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3881" w14:textId="11C33B8E" w:rsidR="00F11093" w:rsidRDefault="00F11093">
    <w:pPr>
      <w:pStyle w:val="Footer"/>
    </w:pPr>
    <w:r>
      <w:t>Updated 12/12/25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884E" w14:textId="77777777" w:rsidR="0099192A" w:rsidRDefault="0099192A" w:rsidP="006017F3">
      <w:pPr>
        <w:spacing w:before="0"/>
      </w:pPr>
      <w:r>
        <w:separator/>
      </w:r>
    </w:p>
  </w:footnote>
  <w:footnote w:type="continuationSeparator" w:id="0">
    <w:p w14:paraId="570C8EB6" w14:textId="77777777" w:rsidR="0099192A" w:rsidRDefault="0099192A" w:rsidP="006017F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757A" w14:textId="57662E12" w:rsidR="006017F3" w:rsidRDefault="006017F3" w:rsidP="006017F3">
    <w:pPr>
      <w:jc w:val="center"/>
      <w:rPr>
        <w:b/>
        <w:bCs/>
        <w:u w:val="single"/>
      </w:rPr>
    </w:pPr>
    <w:r>
      <w:rPr>
        <w:b/>
        <w:bCs/>
        <w:u w:val="single"/>
      </w:rPr>
      <w:t xml:space="preserve">VSHA Proposed Changes to the Administrative Plan- Effective </w:t>
    </w:r>
    <w:r w:rsidR="002C18EE">
      <w:rPr>
        <w:b/>
        <w:bCs/>
        <w:u w:val="single"/>
      </w:rPr>
      <w:t>March</w:t>
    </w:r>
    <w:r>
      <w:rPr>
        <w:b/>
        <w:bCs/>
        <w:u w:val="single"/>
      </w:rPr>
      <w:t xml:space="preserve"> 1, 2026</w:t>
    </w:r>
  </w:p>
  <w:p w14:paraId="5847D943" w14:textId="77777777" w:rsidR="006017F3" w:rsidRDefault="00601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959A5"/>
    <w:multiLevelType w:val="hybridMultilevel"/>
    <w:tmpl w:val="710AE88A"/>
    <w:lvl w:ilvl="0" w:tplc="56D23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2AD2D80"/>
    <w:multiLevelType w:val="hybridMultilevel"/>
    <w:tmpl w:val="A220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9164198">
    <w:abstractNumId w:val="0"/>
  </w:num>
  <w:num w:numId="2" w16cid:durableId="801386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4C"/>
    <w:rsid w:val="00016551"/>
    <w:rsid w:val="00086A55"/>
    <w:rsid w:val="00192406"/>
    <w:rsid w:val="002C18EE"/>
    <w:rsid w:val="002E79DC"/>
    <w:rsid w:val="002F24CC"/>
    <w:rsid w:val="003011EE"/>
    <w:rsid w:val="003556D1"/>
    <w:rsid w:val="003772B6"/>
    <w:rsid w:val="00391547"/>
    <w:rsid w:val="004E7701"/>
    <w:rsid w:val="0053222F"/>
    <w:rsid w:val="005523DC"/>
    <w:rsid w:val="005A6999"/>
    <w:rsid w:val="006017F3"/>
    <w:rsid w:val="00680F98"/>
    <w:rsid w:val="006F7ED6"/>
    <w:rsid w:val="00746291"/>
    <w:rsid w:val="00865A8E"/>
    <w:rsid w:val="008D018E"/>
    <w:rsid w:val="008F2D44"/>
    <w:rsid w:val="0099192A"/>
    <w:rsid w:val="00AC49AB"/>
    <w:rsid w:val="00BB31D5"/>
    <w:rsid w:val="00C633DE"/>
    <w:rsid w:val="00C66BFE"/>
    <w:rsid w:val="00CC6CBE"/>
    <w:rsid w:val="00D4474C"/>
    <w:rsid w:val="00DB6C38"/>
    <w:rsid w:val="00E400B1"/>
    <w:rsid w:val="00E45D7A"/>
    <w:rsid w:val="00E86905"/>
    <w:rsid w:val="00F11093"/>
    <w:rsid w:val="00F86F4B"/>
    <w:rsid w:val="00FE6E19"/>
    <w:rsid w:val="00FF4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E9E0"/>
  <w15:chartTrackingRefBased/>
  <w15:docId w15:val="{07BA7969-0FA3-444E-8F67-A0B5510A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74C"/>
    <w:pPr>
      <w:tabs>
        <w:tab w:val="left" w:pos="360"/>
        <w:tab w:val="left" w:pos="1080"/>
        <w:tab w:val="left" w:pos="1440"/>
      </w:tabs>
      <w:spacing w:before="120"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44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4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47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7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7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7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7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74C"/>
    <w:rPr>
      <w:rFonts w:eastAsiaTheme="majorEastAsia" w:cstheme="majorBidi"/>
      <w:color w:val="272727" w:themeColor="text1" w:themeTint="D8"/>
    </w:rPr>
  </w:style>
  <w:style w:type="paragraph" w:styleId="Title">
    <w:name w:val="Title"/>
    <w:basedOn w:val="Normal"/>
    <w:next w:val="Normal"/>
    <w:link w:val="TitleChar"/>
    <w:uiPriority w:val="10"/>
    <w:qFormat/>
    <w:rsid w:val="00D447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74C"/>
    <w:pPr>
      <w:spacing w:before="160"/>
      <w:jc w:val="center"/>
    </w:pPr>
    <w:rPr>
      <w:i/>
      <w:iCs/>
      <w:color w:val="404040" w:themeColor="text1" w:themeTint="BF"/>
    </w:rPr>
  </w:style>
  <w:style w:type="character" w:customStyle="1" w:styleId="QuoteChar">
    <w:name w:val="Quote Char"/>
    <w:basedOn w:val="DefaultParagraphFont"/>
    <w:link w:val="Quote"/>
    <w:uiPriority w:val="29"/>
    <w:rsid w:val="00D4474C"/>
    <w:rPr>
      <w:i/>
      <w:iCs/>
      <w:color w:val="404040" w:themeColor="text1" w:themeTint="BF"/>
    </w:rPr>
  </w:style>
  <w:style w:type="paragraph" w:styleId="ListParagraph">
    <w:name w:val="List Paragraph"/>
    <w:basedOn w:val="Normal"/>
    <w:uiPriority w:val="34"/>
    <w:qFormat/>
    <w:rsid w:val="00D4474C"/>
    <w:pPr>
      <w:ind w:left="720"/>
      <w:contextualSpacing/>
    </w:pPr>
  </w:style>
  <w:style w:type="character" w:styleId="IntenseEmphasis">
    <w:name w:val="Intense Emphasis"/>
    <w:basedOn w:val="DefaultParagraphFont"/>
    <w:uiPriority w:val="21"/>
    <w:qFormat/>
    <w:rsid w:val="00D4474C"/>
    <w:rPr>
      <w:i/>
      <w:iCs/>
      <w:color w:val="0F4761" w:themeColor="accent1" w:themeShade="BF"/>
    </w:rPr>
  </w:style>
  <w:style w:type="paragraph" w:styleId="IntenseQuote">
    <w:name w:val="Intense Quote"/>
    <w:basedOn w:val="Normal"/>
    <w:next w:val="Normal"/>
    <w:link w:val="IntenseQuoteChar"/>
    <w:uiPriority w:val="30"/>
    <w:qFormat/>
    <w:rsid w:val="00D44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74C"/>
    <w:rPr>
      <w:i/>
      <w:iCs/>
      <w:color w:val="0F4761" w:themeColor="accent1" w:themeShade="BF"/>
    </w:rPr>
  </w:style>
  <w:style w:type="character" w:styleId="IntenseReference">
    <w:name w:val="Intense Reference"/>
    <w:basedOn w:val="DefaultParagraphFont"/>
    <w:uiPriority w:val="32"/>
    <w:qFormat/>
    <w:rsid w:val="00D4474C"/>
    <w:rPr>
      <w:b/>
      <w:bCs/>
      <w:smallCaps/>
      <w:color w:val="0F4761" w:themeColor="accent1" w:themeShade="BF"/>
      <w:spacing w:val="5"/>
    </w:rPr>
  </w:style>
  <w:style w:type="paragraph" w:styleId="BodyText">
    <w:name w:val="Body Text"/>
    <w:basedOn w:val="Normal"/>
    <w:link w:val="BodyTextChar"/>
    <w:uiPriority w:val="1"/>
    <w:qFormat/>
    <w:rsid w:val="00CC6CBE"/>
    <w:pPr>
      <w:widowControl w:val="0"/>
      <w:tabs>
        <w:tab w:val="clear" w:pos="360"/>
        <w:tab w:val="clear" w:pos="1080"/>
        <w:tab w:val="clear" w:pos="1440"/>
      </w:tabs>
      <w:autoSpaceDE w:val="0"/>
      <w:autoSpaceDN w:val="0"/>
      <w:ind w:left="220"/>
    </w:pPr>
  </w:style>
  <w:style w:type="character" w:customStyle="1" w:styleId="BodyTextChar">
    <w:name w:val="Body Text Char"/>
    <w:basedOn w:val="DefaultParagraphFont"/>
    <w:link w:val="BodyText"/>
    <w:uiPriority w:val="1"/>
    <w:rsid w:val="00CC6CBE"/>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017F3"/>
    <w:pPr>
      <w:tabs>
        <w:tab w:val="clear" w:pos="360"/>
        <w:tab w:val="clear" w:pos="1080"/>
        <w:tab w:val="clear" w:pos="1440"/>
        <w:tab w:val="center" w:pos="4680"/>
        <w:tab w:val="right" w:pos="9360"/>
      </w:tabs>
      <w:spacing w:before="0"/>
    </w:pPr>
  </w:style>
  <w:style w:type="character" w:customStyle="1" w:styleId="HeaderChar">
    <w:name w:val="Header Char"/>
    <w:basedOn w:val="DefaultParagraphFont"/>
    <w:link w:val="Header"/>
    <w:uiPriority w:val="99"/>
    <w:rsid w:val="006017F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017F3"/>
    <w:pPr>
      <w:tabs>
        <w:tab w:val="clear" w:pos="360"/>
        <w:tab w:val="clear" w:pos="1080"/>
        <w:tab w:val="clear" w:pos="1440"/>
        <w:tab w:val="center" w:pos="4680"/>
        <w:tab w:val="right" w:pos="9360"/>
      </w:tabs>
      <w:spacing w:before="0"/>
    </w:pPr>
  </w:style>
  <w:style w:type="character" w:customStyle="1" w:styleId="FooterChar">
    <w:name w:val="Footer Char"/>
    <w:basedOn w:val="DefaultParagraphFont"/>
    <w:link w:val="Footer"/>
    <w:uiPriority w:val="99"/>
    <w:rsid w:val="006017F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15E82E2AC4D47B2AA19E304BDDEDC" ma:contentTypeVersion="3" ma:contentTypeDescription="Create a new document." ma:contentTypeScope="" ma:versionID="83cbbd8ddb388515de55f523f5ec2aa5">
  <xsd:schema xmlns:xsd="http://www.w3.org/2001/XMLSchema" xmlns:xs="http://www.w3.org/2001/XMLSchema" xmlns:p="http://schemas.microsoft.com/office/2006/metadata/properties" xmlns:ns2="b53ab077-daf5-4222-8dcd-b02355aa616c" targetNamespace="http://schemas.microsoft.com/office/2006/metadata/properties" ma:root="true" ma:fieldsID="126004b67607bbd4fa64aa4009b5fa3b" ns2:_="">
    <xsd:import namespace="b53ab077-daf5-4222-8dcd-b02355aa61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ab077-daf5-4222-8dcd-b02355aa6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8137F-1C78-4B22-B625-8386DA5A859D}">
  <ds:schemaRefs>
    <ds:schemaRef ds:uri="http://schemas.microsoft.com/sharepoint/v3/contenttype/forms"/>
  </ds:schemaRefs>
</ds:datastoreItem>
</file>

<file path=customXml/itemProps2.xml><?xml version="1.0" encoding="utf-8"?>
<ds:datastoreItem xmlns:ds="http://schemas.openxmlformats.org/officeDocument/2006/customXml" ds:itemID="{7595C7C7-C36B-458C-8DC7-22E4E2AE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ab077-daf5-4222-8dcd-b02355aa6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8C1EE-3D1D-4379-B67F-6F72D722D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2801</TotalTime>
  <Pages>6</Pages>
  <Words>2088</Words>
  <Characters>10569</Characters>
  <Application>Microsoft Office Word</Application>
  <DocSecurity>0</DocSecurity>
  <Lines>234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Bacon</dc:creator>
  <cp:keywords/>
  <dc:description/>
  <cp:lastModifiedBy>Elizabeth Bacon</cp:lastModifiedBy>
  <cp:revision>19</cp:revision>
  <cp:lastPrinted>2025-11-24T16:06:00Z</cp:lastPrinted>
  <dcterms:created xsi:type="dcterms:W3CDTF">2025-11-20T19:17:00Z</dcterms:created>
  <dcterms:modified xsi:type="dcterms:W3CDTF">2025-12-12T15:30:00Z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0x01010067315E82E2AC4D47B2AA19E304BDDEDC</vt:lpwstr>
  </property>
</Properties>
</file>